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Helvetica" w:hAnsi="Helvetica"/>
          <w:color w:val="333333"/>
          <w:sz w:val="24"/>
          <w:szCs w:val="24"/>
          <w:shd w:val="clear" w:color="auto" w:fill="FFFFFF"/>
        </w:rPr>
      </w:pPr>
      <w:r>
        <w:rPr>
          <w:color w:val="FF0000"/>
        </w:rPr>
        <w:drawing>
          <wp:anchor distT="0" distB="0" distL="114300" distR="114300" simplePos="0" relativeHeight="251658240" behindDoc="0" locked="0" layoutInCell="1" allowOverlap="1">
            <wp:simplePos x="0" y="0"/>
            <wp:positionH relativeFrom="page">
              <wp:posOffset>1195070</wp:posOffset>
            </wp:positionH>
            <wp:positionV relativeFrom="page">
              <wp:posOffset>977900</wp:posOffset>
            </wp:positionV>
            <wp:extent cx="1750060" cy="1876425"/>
            <wp:effectExtent l="0" t="0" r="2540" b="9525"/>
            <wp:wrapSquare wrapText="bothSides"/>
            <wp:docPr id="1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6"/>
                    <pic:cNvPicPr>
                      <a:picLocks noChangeAspect="1"/>
                    </pic:cNvPicPr>
                  </pic:nvPicPr>
                  <pic:blipFill>
                    <a:blip r:embed="rId4"/>
                    <a:stretch>
                      <a:fillRect/>
                    </a:stretch>
                  </pic:blipFill>
                  <pic:spPr>
                    <a:xfrm>
                      <a:off x="0" y="0"/>
                      <a:ext cx="1750060" cy="1876425"/>
                    </a:xfrm>
                    <a:prstGeom prst="rect">
                      <a:avLst/>
                    </a:prstGeom>
                    <a:noFill/>
                    <a:ln>
                      <a:noFill/>
                    </a:ln>
                  </pic:spPr>
                </pic:pic>
              </a:graphicData>
            </a:graphic>
          </wp:anchor>
        </w:drawing>
      </w:r>
    </w:p>
    <w:p>
      <w:pPr>
        <w:rPr>
          <w:rFonts w:ascii="Helvetica" w:hAnsi="Helvetica"/>
          <w:color w:val="333333"/>
          <w:sz w:val="24"/>
          <w:szCs w:val="24"/>
          <w:shd w:val="clear" w:color="auto" w:fill="FFFFFF"/>
        </w:rPr>
      </w:pPr>
    </w:p>
    <w:p>
      <w:pPr>
        <w:rPr>
          <w:sz w:val="24"/>
          <w:szCs w:val="24"/>
        </w:rPr>
      </w:pPr>
    </w:p>
    <w:p>
      <w:pPr>
        <w:widowControl/>
        <w:adjustRightInd w:val="0"/>
        <w:snapToGrid w:val="0"/>
        <w:spacing w:line="360" w:lineRule="auto"/>
        <w:ind w:firstLine="480" w:firstLineChars="200"/>
        <w:jc w:val="left"/>
        <w:rPr>
          <w:kern w:val="0"/>
          <w:sz w:val="24"/>
          <w:szCs w:val="24"/>
        </w:rPr>
      </w:pPr>
    </w:p>
    <w:p>
      <w:pPr>
        <w:rPr>
          <w:b/>
          <w:sz w:val="24"/>
          <w:szCs w:val="24"/>
        </w:rPr>
      </w:pPr>
    </w:p>
    <w:p>
      <w:pPr>
        <w:adjustRightInd w:val="0"/>
        <w:snapToGrid w:val="0"/>
        <w:spacing w:line="360" w:lineRule="auto"/>
        <w:ind w:firstLine="482" w:firstLineChars="200"/>
        <w:rPr>
          <w:b/>
          <w:sz w:val="24"/>
          <w:szCs w:val="24"/>
        </w:rPr>
      </w:pPr>
    </w:p>
    <w:p>
      <w:pPr>
        <w:widowControl/>
        <w:adjustRightInd w:val="0"/>
        <w:snapToGrid w:val="0"/>
        <w:spacing w:line="360" w:lineRule="auto"/>
        <w:ind w:firstLine="600" w:firstLineChars="249"/>
        <w:jc w:val="left"/>
        <w:rPr>
          <w:b/>
          <w:sz w:val="24"/>
          <w:szCs w:val="24"/>
        </w:rPr>
      </w:pPr>
    </w:p>
    <w:p>
      <w:pPr>
        <w:widowControl/>
        <w:adjustRightInd w:val="0"/>
        <w:snapToGrid w:val="0"/>
        <w:spacing w:line="360" w:lineRule="auto"/>
        <w:ind w:firstLine="420" w:firstLineChars="200"/>
        <w:jc w:val="left"/>
        <w:rPr>
          <w:color w:val="FF0000"/>
        </w:rPr>
      </w:pPr>
    </w:p>
    <w:p>
      <w:pPr>
        <w:widowControl/>
        <w:adjustRightInd w:val="0"/>
        <w:snapToGrid w:val="0"/>
        <w:spacing w:line="360" w:lineRule="auto"/>
        <w:ind w:firstLine="420" w:firstLineChars="200"/>
        <w:jc w:val="left"/>
        <w:rPr>
          <w:color w:val="FF0000"/>
        </w:rPr>
      </w:pPr>
    </w:p>
    <w:p>
      <w:pPr>
        <w:widowControl/>
        <w:adjustRightInd w:val="0"/>
        <w:snapToGrid w:val="0"/>
        <w:spacing w:line="360" w:lineRule="auto"/>
        <w:ind w:firstLine="482" w:firstLineChars="200"/>
        <w:jc w:val="left"/>
        <w:rPr>
          <w:kern w:val="0"/>
          <w:sz w:val="24"/>
          <w:szCs w:val="24"/>
        </w:rPr>
      </w:pPr>
      <w:r>
        <w:rPr>
          <w:rFonts w:hint="eastAsia"/>
          <w:b/>
          <w:color w:val="FF6600"/>
          <w:kern w:val="0"/>
          <w:sz w:val="24"/>
          <w:szCs w:val="24"/>
        </w:rPr>
        <w:t>赵知劲</w:t>
      </w:r>
      <w:r>
        <w:rPr>
          <w:rFonts w:hint="eastAsia"/>
          <w:b/>
          <w:color w:val="FF6600"/>
          <w:kern w:val="0"/>
          <w:sz w:val="24"/>
          <w:szCs w:val="24"/>
          <w:lang w:eastAsia="zh-CN"/>
        </w:rPr>
        <w:t>：</w:t>
      </w:r>
      <w:bookmarkStart w:id="0" w:name="_GoBack"/>
      <w:bookmarkEnd w:id="0"/>
      <w:r>
        <w:rPr>
          <w:rFonts w:hint="eastAsia"/>
          <w:kern w:val="0"/>
          <w:sz w:val="24"/>
          <w:szCs w:val="24"/>
        </w:rPr>
        <w:t>教授、博士生导师。在西安电子科技大学分别获得信息处理专业学士学位、电路与系统专业硕士学位和通信与信息系统工学博士学位。</w:t>
      </w:r>
      <w:r>
        <w:rPr>
          <w:kern w:val="0"/>
          <w:sz w:val="24"/>
          <w:szCs w:val="24"/>
        </w:rPr>
        <w:t>1997</w:t>
      </w:r>
      <w:r>
        <w:rPr>
          <w:rFonts w:hint="eastAsia"/>
          <w:kern w:val="0"/>
          <w:sz w:val="24"/>
          <w:szCs w:val="24"/>
        </w:rPr>
        <w:t>年晋升教授，</w:t>
      </w:r>
      <w:r>
        <w:rPr>
          <w:kern w:val="0"/>
          <w:sz w:val="24"/>
          <w:szCs w:val="24"/>
        </w:rPr>
        <w:t>2005</w:t>
      </w:r>
      <w:r>
        <w:rPr>
          <w:rFonts w:hint="eastAsia"/>
          <w:kern w:val="0"/>
          <w:sz w:val="24"/>
          <w:szCs w:val="24"/>
        </w:rPr>
        <w:t>年获博士生导师资格。</w:t>
      </w:r>
      <w:r>
        <w:rPr>
          <w:kern w:val="0"/>
          <w:sz w:val="24"/>
          <w:szCs w:val="24"/>
        </w:rPr>
        <w:t>2000</w:t>
      </w:r>
      <w:r>
        <w:rPr>
          <w:rFonts w:hint="eastAsia"/>
          <w:kern w:val="0"/>
          <w:sz w:val="24"/>
          <w:szCs w:val="24"/>
        </w:rPr>
        <w:t>年入选浙江省</w:t>
      </w:r>
      <w:r>
        <w:rPr>
          <w:kern w:val="0"/>
          <w:sz w:val="24"/>
          <w:szCs w:val="24"/>
        </w:rPr>
        <w:t>“151</w:t>
      </w:r>
      <w:r>
        <w:rPr>
          <w:rFonts w:hint="eastAsia"/>
          <w:kern w:val="0"/>
          <w:sz w:val="24"/>
          <w:szCs w:val="24"/>
        </w:rPr>
        <w:t>人才工程</w:t>
      </w:r>
      <w:r>
        <w:rPr>
          <w:kern w:val="0"/>
          <w:sz w:val="24"/>
          <w:szCs w:val="24"/>
        </w:rPr>
        <w:t>”</w:t>
      </w:r>
      <w:r>
        <w:rPr>
          <w:rFonts w:hint="eastAsia"/>
          <w:kern w:val="0"/>
          <w:sz w:val="24"/>
          <w:szCs w:val="24"/>
        </w:rPr>
        <w:t>第二层次，</w:t>
      </w:r>
      <w:r>
        <w:rPr>
          <w:kern w:val="0"/>
          <w:sz w:val="24"/>
          <w:szCs w:val="24"/>
        </w:rPr>
        <w:t>2003</w:t>
      </w:r>
      <w:r>
        <w:rPr>
          <w:rFonts w:hint="eastAsia"/>
          <w:kern w:val="0"/>
          <w:sz w:val="24"/>
          <w:szCs w:val="24"/>
        </w:rPr>
        <w:t>年获浙江省高校中青年学科带头人重点资助，</w:t>
      </w:r>
      <w:r>
        <w:rPr>
          <w:kern w:val="0"/>
          <w:sz w:val="24"/>
          <w:szCs w:val="24"/>
        </w:rPr>
        <w:t>2007</w:t>
      </w:r>
      <w:r>
        <w:rPr>
          <w:rFonts w:hint="eastAsia"/>
          <w:kern w:val="0"/>
          <w:sz w:val="24"/>
          <w:szCs w:val="24"/>
        </w:rPr>
        <w:t>年获浙江省功勋教师，</w:t>
      </w:r>
      <w:r>
        <w:rPr>
          <w:kern w:val="0"/>
          <w:sz w:val="24"/>
          <w:szCs w:val="24"/>
        </w:rPr>
        <w:t>2011</w:t>
      </w:r>
      <w:r>
        <w:rPr>
          <w:rFonts w:hint="eastAsia"/>
          <w:kern w:val="0"/>
          <w:sz w:val="24"/>
          <w:szCs w:val="24"/>
        </w:rPr>
        <w:t>年获浙江省有突出贡献的中青年专家称号。</w:t>
      </w:r>
    </w:p>
    <w:p>
      <w:pPr>
        <w:widowControl/>
        <w:adjustRightInd w:val="0"/>
        <w:snapToGrid w:val="0"/>
        <w:spacing w:line="360" w:lineRule="auto"/>
        <w:ind w:firstLine="480" w:firstLineChars="200"/>
        <w:jc w:val="left"/>
        <w:rPr>
          <w:kern w:val="0"/>
          <w:sz w:val="24"/>
          <w:szCs w:val="24"/>
        </w:rPr>
      </w:pPr>
      <w:r>
        <w:rPr>
          <w:rFonts w:hint="eastAsia"/>
          <w:kern w:val="0"/>
          <w:sz w:val="24"/>
          <w:szCs w:val="24"/>
        </w:rPr>
        <w:t>主要研究通信信号处理、认知无线电技术。主持完成国家基金项目</w:t>
      </w:r>
      <w:r>
        <w:rPr>
          <w:kern w:val="0"/>
          <w:sz w:val="24"/>
          <w:szCs w:val="24"/>
        </w:rPr>
        <w:t>1</w:t>
      </w:r>
      <w:r>
        <w:rPr>
          <w:rFonts w:hint="eastAsia"/>
          <w:kern w:val="0"/>
          <w:sz w:val="24"/>
          <w:szCs w:val="24"/>
        </w:rPr>
        <w:t>项、省部项目二十多项、横向科研项目十多项。目前正主持国防前沿创新项目</w:t>
      </w:r>
      <w:r>
        <w:rPr>
          <w:kern w:val="0"/>
          <w:sz w:val="24"/>
          <w:szCs w:val="24"/>
        </w:rPr>
        <w:t>1</w:t>
      </w:r>
      <w:r>
        <w:rPr>
          <w:rFonts w:hint="eastAsia"/>
          <w:kern w:val="0"/>
          <w:sz w:val="24"/>
          <w:szCs w:val="24"/>
        </w:rPr>
        <w:t>项、国家基金项目</w:t>
      </w:r>
      <w:r>
        <w:rPr>
          <w:kern w:val="0"/>
          <w:sz w:val="24"/>
          <w:szCs w:val="24"/>
        </w:rPr>
        <w:t>1</w:t>
      </w:r>
      <w:r>
        <w:rPr>
          <w:rFonts w:hint="eastAsia"/>
          <w:kern w:val="0"/>
          <w:sz w:val="24"/>
          <w:szCs w:val="24"/>
        </w:rPr>
        <w:t>项。在国内外重要学术期刊和会议上发表学术论文</w:t>
      </w:r>
      <w:r>
        <w:rPr>
          <w:kern w:val="0"/>
          <w:sz w:val="24"/>
          <w:szCs w:val="24"/>
        </w:rPr>
        <w:t>140</w:t>
      </w:r>
      <w:r>
        <w:rPr>
          <w:rFonts w:hint="eastAsia"/>
          <w:kern w:val="0"/>
          <w:sz w:val="24"/>
          <w:szCs w:val="24"/>
        </w:rPr>
        <w:t>多篇，其中被</w:t>
      </w:r>
      <w:r>
        <w:rPr>
          <w:kern w:val="0"/>
          <w:sz w:val="24"/>
          <w:szCs w:val="24"/>
        </w:rPr>
        <w:t>SCI</w:t>
      </w:r>
      <w:r>
        <w:rPr>
          <w:rFonts w:hint="eastAsia"/>
          <w:kern w:val="0"/>
          <w:sz w:val="24"/>
          <w:szCs w:val="24"/>
        </w:rPr>
        <w:t>收录</w:t>
      </w:r>
      <w:r>
        <w:rPr>
          <w:kern w:val="0"/>
          <w:sz w:val="24"/>
          <w:szCs w:val="24"/>
        </w:rPr>
        <w:t>30</w:t>
      </w:r>
      <w:r>
        <w:rPr>
          <w:rFonts w:hint="eastAsia"/>
          <w:kern w:val="0"/>
          <w:sz w:val="24"/>
          <w:szCs w:val="24"/>
        </w:rPr>
        <w:t>多篇篇，</w:t>
      </w:r>
      <w:r>
        <w:rPr>
          <w:kern w:val="0"/>
          <w:sz w:val="24"/>
          <w:szCs w:val="24"/>
        </w:rPr>
        <w:t>EI</w:t>
      </w:r>
      <w:r>
        <w:rPr>
          <w:rFonts w:hint="eastAsia"/>
          <w:kern w:val="0"/>
          <w:sz w:val="24"/>
          <w:szCs w:val="24"/>
        </w:rPr>
        <w:t>收录</w:t>
      </w:r>
      <w:r>
        <w:rPr>
          <w:kern w:val="0"/>
          <w:sz w:val="24"/>
          <w:szCs w:val="24"/>
        </w:rPr>
        <w:t>50</w:t>
      </w:r>
      <w:r>
        <w:rPr>
          <w:rFonts w:hint="eastAsia"/>
          <w:kern w:val="0"/>
          <w:sz w:val="24"/>
          <w:szCs w:val="24"/>
        </w:rPr>
        <w:t>多篇。合作出版《认知无线电技术》第一版、第二版译著各一部。获省部级二等奖</w:t>
      </w:r>
      <w:r>
        <w:rPr>
          <w:kern w:val="0"/>
          <w:sz w:val="24"/>
          <w:szCs w:val="24"/>
        </w:rPr>
        <w:t>2</w:t>
      </w:r>
      <w:r>
        <w:rPr>
          <w:rFonts w:hint="eastAsia"/>
          <w:kern w:val="0"/>
          <w:sz w:val="24"/>
          <w:szCs w:val="24"/>
        </w:rPr>
        <w:t>项、三等奖</w:t>
      </w:r>
      <w:r>
        <w:rPr>
          <w:kern w:val="0"/>
          <w:sz w:val="24"/>
          <w:szCs w:val="24"/>
        </w:rPr>
        <w:t>1</w:t>
      </w:r>
      <w:r>
        <w:rPr>
          <w:rFonts w:hint="eastAsia"/>
          <w:kern w:val="0"/>
          <w:sz w:val="24"/>
          <w:szCs w:val="24"/>
        </w:rPr>
        <w:t>项。</w:t>
      </w:r>
    </w:p>
    <w:p>
      <w:pPr>
        <w:widowControl/>
        <w:adjustRightInd w:val="0"/>
        <w:snapToGrid w:val="0"/>
        <w:spacing w:line="360" w:lineRule="auto"/>
        <w:ind w:firstLine="480" w:firstLineChars="200"/>
        <w:jc w:val="left"/>
        <w:rPr>
          <w:kern w:val="0"/>
          <w:sz w:val="24"/>
          <w:szCs w:val="24"/>
        </w:rPr>
      </w:pPr>
      <w:r>
        <w:rPr>
          <w:rFonts w:hint="eastAsia"/>
          <w:kern w:val="0"/>
          <w:sz w:val="24"/>
          <w:szCs w:val="24"/>
        </w:rPr>
        <w:t>现任浙江省数据存储传输及应用技术研究重点实验室学术委员会委员、浙江省信号处理学会秘书长、《信号处理》期刊编委、杭州电子科技大学信息与电子系统研究所所长。</w:t>
      </w:r>
    </w:p>
    <w:p>
      <w:pPr>
        <w:ind w:firstLine="480" w:firstLineChars="200"/>
        <w:rPr>
          <w:kern w:val="0"/>
          <w:sz w:val="24"/>
          <w:szCs w:val="24"/>
        </w:rPr>
      </w:pPr>
      <w:r>
        <w:rPr>
          <w:kern w:val="0"/>
          <w:sz w:val="24"/>
          <w:szCs w:val="24"/>
        </w:rPr>
        <w:t xml:space="preserve">E-mail: </w:t>
      </w:r>
      <w:r>
        <w:fldChar w:fldCharType="begin"/>
      </w:r>
      <w:r>
        <w:instrText xml:space="preserve"> HYPERLINK "mailto:zhaozj03@hdu.edu.cn" </w:instrText>
      </w:r>
      <w:r>
        <w:fldChar w:fldCharType="separate"/>
      </w:r>
      <w:r>
        <w:rPr>
          <w:rStyle w:val="4"/>
          <w:kern w:val="0"/>
          <w:sz w:val="24"/>
          <w:szCs w:val="24"/>
        </w:rPr>
        <w:t>zhaozj03@hdu.edu.cn</w:t>
      </w:r>
      <w:r>
        <w:rPr>
          <w:rStyle w:val="4"/>
          <w:kern w:val="0"/>
          <w:sz w:val="24"/>
          <w:szCs w:val="24"/>
        </w:rPr>
        <w:fldChar w:fldCharType="end"/>
      </w:r>
    </w:p>
    <w:p>
      <w:pPr>
        <w:widowControl/>
        <w:adjustRightInd w:val="0"/>
        <w:snapToGrid w:val="0"/>
        <w:spacing w:line="360" w:lineRule="auto"/>
        <w:ind w:firstLine="480" w:firstLineChars="200"/>
        <w:jc w:val="left"/>
        <w:rPr>
          <w:kern w:val="0"/>
          <w:sz w:val="24"/>
          <w:szCs w:val="24"/>
        </w:rPr>
      </w:pPr>
    </w:p>
    <w:p>
      <w:pPr>
        <w:adjustRightInd w:val="0"/>
        <w:snapToGrid w:val="0"/>
        <w:spacing w:line="360" w:lineRule="auto"/>
        <w:ind w:firstLine="482" w:firstLineChars="200"/>
        <w:rPr>
          <w:b/>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836707"/>
    <w:rsid w:val="24836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qFormat/>
    <w:uiPriority w:val="99"/>
    <w:rPr>
      <w:rFonts w:cs="Times New Roman"/>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2020-10-26T02:00:00Z</dcterms:created>
  <dc:creator>郭</dc:creator>
  <cp:lastModifiedBy>郭</cp:lastModifiedBy>
  <dcterms:modified xsi:type="dcterms:W3CDTF">2020-10-26T02:01:22Z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