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</w:t>
      </w:r>
    </w:p>
    <w:p>
      <w:pPr>
        <w:rPr>
          <w:szCs w:val="24"/>
        </w:rPr>
      </w:pPr>
      <w:r>
        <w:drawing>
          <wp:inline distT="0" distB="0" distL="114300" distR="114300">
            <wp:extent cx="1889760" cy="1889760"/>
            <wp:effectExtent l="0" t="0" r="15240" b="15240"/>
            <wp:docPr id="27" name="图片 4" descr="20150623赴美国加拿大护照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4" descr="20150623赴美国加拿大护照照片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4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二、基本信息</w:t>
      </w:r>
    </w:p>
    <w:p>
      <w:pPr>
        <w:spacing w:line="44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程知群</w:t>
      </w:r>
      <w:r>
        <w:rPr>
          <w:rFonts w:ascii="宋体" w:hAnsi="宋体"/>
          <w:b/>
          <w:sz w:val="24"/>
          <w:szCs w:val="24"/>
        </w:rPr>
        <w:t xml:space="preserve">  Cheng Zhiqun </w:t>
      </w:r>
      <w:r>
        <w:rPr>
          <w:rFonts w:hint="eastAsia" w:ascii="宋体" w:hAnsi="宋体"/>
          <w:b/>
          <w:sz w:val="24"/>
          <w:szCs w:val="24"/>
        </w:rPr>
        <w:t>教授</w:t>
      </w:r>
    </w:p>
    <w:p>
      <w:pPr>
        <w:spacing w:line="440" w:lineRule="exact"/>
        <w:rPr>
          <w:kern w:val="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所属学院：</w:t>
      </w:r>
      <w:r>
        <w:rPr>
          <w:rFonts w:hint="eastAsia"/>
          <w:kern w:val="0"/>
          <w:sz w:val="24"/>
          <w:szCs w:val="24"/>
        </w:rPr>
        <w:t>电子信息学院</w:t>
      </w:r>
      <w:r>
        <w:rPr>
          <w:kern w:val="0"/>
          <w:sz w:val="24"/>
          <w:szCs w:val="24"/>
        </w:rPr>
        <w:t>/</w:t>
      </w:r>
      <w:r>
        <w:rPr>
          <w:rFonts w:hint="eastAsia"/>
          <w:kern w:val="0"/>
          <w:sz w:val="24"/>
          <w:szCs w:val="24"/>
        </w:rPr>
        <w:t>微电子学院</w:t>
      </w:r>
    </w:p>
    <w:p>
      <w:pPr>
        <w:spacing w:line="440" w:lineRule="exact"/>
        <w:rPr>
          <w:kern w:val="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导师类别：</w:t>
      </w:r>
      <w:r>
        <w:rPr>
          <w:rFonts w:hint="eastAsia"/>
          <w:kern w:val="0"/>
          <w:sz w:val="24"/>
          <w:szCs w:val="24"/>
        </w:rPr>
        <w:t>博士生导师、硕士生导师</w:t>
      </w:r>
    </w:p>
    <w:p>
      <w:pPr>
        <w:spacing w:line="440" w:lineRule="exact"/>
        <w:rPr>
          <w:kern w:val="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职务：</w:t>
      </w:r>
      <w:r>
        <w:rPr>
          <w:rFonts w:hint="eastAsia"/>
          <w:kern w:val="0"/>
          <w:sz w:val="24"/>
          <w:szCs w:val="24"/>
        </w:rPr>
        <w:t>电子信息学院</w:t>
      </w:r>
      <w:r>
        <w:rPr>
          <w:kern w:val="0"/>
          <w:sz w:val="24"/>
          <w:szCs w:val="24"/>
        </w:rPr>
        <w:t>/</w:t>
      </w:r>
      <w:r>
        <w:rPr>
          <w:rFonts w:hint="eastAsia"/>
          <w:kern w:val="0"/>
          <w:sz w:val="24"/>
          <w:szCs w:val="24"/>
        </w:rPr>
        <w:t>微电子学院执行院长</w:t>
      </w:r>
    </w:p>
    <w:p>
      <w:pPr>
        <w:spacing w:line="440" w:lineRule="exact"/>
        <w:rPr>
          <w:kern w:val="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专业与研究方向：</w:t>
      </w:r>
      <w:r>
        <w:rPr>
          <w:rFonts w:hint="eastAsia"/>
          <w:kern w:val="0"/>
          <w:sz w:val="24"/>
          <w:szCs w:val="24"/>
        </w:rPr>
        <w:t>电路与系统（微波单片集成电路设计；化合物半导体器件研究；宽带、高效率、高线性度集成电路设计技术研究、基于天地一体化的高速无线通信系统等）</w:t>
      </w:r>
    </w:p>
    <w:p>
      <w:pPr>
        <w:spacing w:line="440" w:lineRule="exact"/>
        <w:rPr>
          <w:kern w:val="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博士招生学院：</w:t>
      </w:r>
      <w:r>
        <w:rPr>
          <w:rFonts w:hint="eastAsia"/>
          <w:kern w:val="0"/>
          <w:sz w:val="24"/>
          <w:szCs w:val="24"/>
        </w:rPr>
        <w:t>电子信息学院</w:t>
      </w:r>
      <w:r>
        <w:rPr>
          <w:kern w:val="0"/>
          <w:sz w:val="24"/>
          <w:szCs w:val="24"/>
        </w:rPr>
        <w:t>/</w:t>
      </w:r>
      <w:r>
        <w:rPr>
          <w:rFonts w:hint="eastAsia"/>
          <w:kern w:val="0"/>
          <w:sz w:val="24"/>
          <w:szCs w:val="24"/>
        </w:rPr>
        <w:t>微电子学院</w:t>
      </w:r>
    </w:p>
    <w:p>
      <w:p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硕士招生学院：</w:t>
      </w:r>
      <w:r>
        <w:rPr>
          <w:rFonts w:hint="eastAsia"/>
          <w:kern w:val="0"/>
          <w:sz w:val="24"/>
          <w:szCs w:val="24"/>
        </w:rPr>
        <w:t>电子信息学院</w:t>
      </w:r>
      <w:r>
        <w:rPr>
          <w:kern w:val="0"/>
          <w:sz w:val="24"/>
          <w:szCs w:val="24"/>
        </w:rPr>
        <w:t>/</w:t>
      </w:r>
      <w:r>
        <w:rPr>
          <w:rFonts w:hint="eastAsia"/>
          <w:kern w:val="0"/>
          <w:sz w:val="24"/>
          <w:szCs w:val="24"/>
        </w:rPr>
        <w:t>微电子学院</w:t>
      </w:r>
    </w:p>
    <w:p>
      <w:p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联系方式：</w:t>
      </w:r>
      <w:r>
        <w:rPr>
          <w:rFonts w:ascii="宋体" w:hAnsi="宋体"/>
          <w:sz w:val="24"/>
          <w:szCs w:val="24"/>
        </w:rPr>
        <w:t xml:space="preserve">zhiqun@hdu.edu.cn </w:t>
      </w:r>
    </w:p>
    <w:p>
      <w:pPr>
        <w:spacing w:line="44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三、个人简述</w:t>
      </w:r>
    </w:p>
    <w:p>
      <w:pPr>
        <w:spacing w:line="360" w:lineRule="auto"/>
        <w:ind w:firstLine="480" w:firstLineChars="200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t>1986</w:t>
      </w:r>
      <w:r>
        <w:rPr>
          <w:rFonts w:hint="eastAsia"/>
          <w:kern w:val="0"/>
          <w:sz w:val="24"/>
          <w:szCs w:val="24"/>
        </w:rPr>
        <w:t>和</w:t>
      </w:r>
      <w:r>
        <w:rPr>
          <w:kern w:val="0"/>
          <w:sz w:val="24"/>
          <w:szCs w:val="24"/>
        </w:rPr>
        <w:t>1995</w:t>
      </w:r>
      <w:r>
        <w:rPr>
          <w:rFonts w:hint="eastAsia"/>
          <w:kern w:val="0"/>
          <w:sz w:val="24"/>
          <w:szCs w:val="24"/>
        </w:rPr>
        <w:t>年分别获得合肥工业大学微电子专业学士和硕士学位，</w:t>
      </w:r>
      <w:r>
        <w:rPr>
          <w:kern w:val="0"/>
          <w:sz w:val="24"/>
          <w:szCs w:val="24"/>
        </w:rPr>
        <w:t>2000</w:t>
      </w:r>
      <w:r>
        <w:rPr>
          <w:rFonts w:hint="eastAsia"/>
          <w:kern w:val="0"/>
          <w:sz w:val="24"/>
          <w:szCs w:val="24"/>
        </w:rPr>
        <w:t>年获中国科学院上海微系统与信息技术研究所博士学位，</w:t>
      </w:r>
      <w:r>
        <w:rPr>
          <w:kern w:val="0"/>
          <w:sz w:val="24"/>
          <w:szCs w:val="24"/>
        </w:rPr>
        <w:t>2004</w:t>
      </w:r>
      <w:r>
        <w:rPr>
          <w:rFonts w:hint="eastAsia"/>
          <w:kern w:val="0"/>
          <w:sz w:val="24"/>
          <w:szCs w:val="24"/>
        </w:rPr>
        <w:t>年</w:t>
      </w:r>
      <w:r>
        <w:rPr>
          <w:kern w:val="0"/>
          <w:sz w:val="24"/>
          <w:szCs w:val="24"/>
        </w:rPr>
        <w:t>2</w:t>
      </w:r>
      <w:r>
        <w:rPr>
          <w:rFonts w:hint="eastAsia"/>
          <w:kern w:val="0"/>
          <w:sz w:val="24"/>
          <w:szCs w:val="24"/>
        </w:rPr>
        <w:t>月到</w:t>
      </w:r>
      <w:r>
        <w:rPr>
          <w:kern w:val="0"/>
          <w:sz w:val="24"/>
          <w:szCs w:val="24"/>
        </w:rPr>
        <w:t>2006</w:t>
      </w:r>
      <w:r>
        <w:rPr>
          <w:rFonts w:hint="eastAsia"/>
          <w:kern w:val="0"/>
          <w:sz w:val="24"/>
          <w:szCs w:val="24"/>
        </w:rPr>
        <w:t>年</w:t>
      </w:r>
      <w:r>
        <w:rPr>
          <w:kern w:val="0"/>
          <w:sz w:val="24"/>
          <w:szCs w:val="24"/>
        </w:rPr>
        <w:t>8</w:t>
      </w:r>
      <w:r>
        <w:rPr>
          <w:rFonts w:hint="eastAsia"/>
          <w:kern w:val="0"/>
          <w:sz w:val="24"/>
          <w:szCs w:val="24"/>
        </w:rPr>
        <w:t>月在香港科技大学作博士后研究，</w:t>
      </w:r>
      <w:r>
        <w:rPr>
          <w:kern w:val="0"/>
          <w:sz w:val="24"/>
          <w:szCs w:val="24"/>
        </w:rPr>
        <w:t>2009</w:t>
      </w:r>
      <w:r>
        <w:rPr>
          <w:rFonts w:hint="eastAsia"/>
          <w:kern w:val="0"/>
          <w:sz w:val="24"/>
          <w:szCs w:val="24"/>
        </w:rPr>
        <w:t>年</w:t>
      </w:r>
      <w:r>
        <w:rPr>
          <w:kern w:val="0"/>
          <w:sz w:val="24"/>
          <w:szCs w:val="24"/>
        </w:rPr>
        <w:t>9</w:t>
      </w:r>
      <w:r>
        <w:rPr>
          <w:rFonts w:hint="eastAsia"/>
          <w:kern w:val="0"/>
          <w:sz w:val="24"/>
          <w:szCs w:val="24"/>
        </w:rPr>
        <w:t>月到</w:t>
      </w:r>
      <w:r>
        <w:rPr>
          <w:kern w:val="0"/>
          <w:sz w:val="24"/>
          <w:szCs w:val="24"/>
        </w:rPr>
        <w:t>2010</w:t>
      </w:r>
      <w:r>
        <w:rPr>
          <w:rFonts w:hint="eastAsia"/>
          <w:kern w:val="0"/>
          <w:sz w:val="24"/>
          <w:szCs w:val="24"/>
        </w:rPr>
        <w:t>年</w:t>
      </w:r>
      <w:r>
        <w:rPr>
          <w:kern w:val="0"/>
          <w:sz w:val="24"/>
          <w:szCs w:val="24"/>
        </w:rPr>
        <w:t>8</w:t>
      </w:r>
      <w:r>
        <w:rPr>
          <w:rFonts w:hint="eastAsia"/>
          <w:kern w:val="0"/>
          <w:sz w:val="24"/>
          <w:szCs w:val="24"/>
        </w:rPr>
        <w:t>月在加拿大</w:t>
      </w:r>
      <w:r>
        <w:rPr>
          <w:kern w:val="0"/>
          <w:sz w:val="24"/>
          <w:szCs w:val="24"/>
        </w:rPr>
        <w:t>Dalhousie</w:t>
      </w:r>
      <w:r>
        <w:rPr>
          <w:rFonts w:hint="eastAsia"/>
          <w:kern w:val="0"/>
          <w:sz w:val="24"/>
          <w:szCs w:val="24"/>
        </w:rPr>
        <w:t>大学和</w:t>
      </w:r>
      <w:r>
        <w:rPr>
          <w:kern w:val="0"/>
          <w:sz w:val="24"/>
          <w:szCs w:val="24"/>
        </w:rPr>
        <w:t>Carleton</w:t>
      </w:r>
      <w:r>
        <w:rPr>
          <w:rFonts w:hint="eastAsia"/>
          <w:kern w:val="0"/>
          <w:sz w:val="24"/>
          <w:szCs w:val="24"/>
        </w:rPr>
        <w:t>大学访问教授，</w:t>
      </w:r>
      <w:r>
        <w:rPr>
          <w:kern w:val="0"/>
          <w:sz w:val="24"/>
          <w:szCs w:val="24"/>
        </w:rPr>
        <w:t>2014</w:t>
      </w:r>
      <w:r>
        <w:rPr>
          <w:rFonts w:hint="eastAsia"/>
          <w:kern w:val="0"/>
          <w:sz w:val="24"/>
          <w:szCs w:val="24"/>
        </w:rPr>
        <w:t>年</w:t>
      </w:r>
      <w:r>
        <w:rPr>
          <w:kern w:val="0"/>
          <w:sz w:val="24"/>
          <w:szCs w:val="24"/>
        </w:rPr>
        <w:t>6</w:t>
      </w:r>
      <w:r>
        <w:rPr>
          <w:rFonts w:hint="eastAsia"/>
          <w:kern w:val="0"/>
          <w:sz w:val="24"/>
          <w:szCs w:val="24"/>
        </w:rPr>
        <w:t>月至</w:t>
      </w:r>
      <w:r>
        <w:rPr>
          <w:kern w:val="0"/>
          <w:sz w:val="24"/>
          <w:szCs w:val="24"/>
        </w:rPr>
        <w:t>12</w:t>
      </w:r>
      <w:r>
        <w:rPr>
          <w:rFonts w:hint="eastAsia"/>
          <w:kern w:val="0"/>
          <w:sz w:val="24"/>
          <w:szCs w:val="24"/>
        </w:rPr>
        <w:t>月英国女王大学访问学者。教育部全国首批“黄大年式教师团队”负责人，浙江省中青年学科带头人、浙江省</w:t>
      </w:r>
      <w:r>
        <w:rPr>
          <w:kern w:val="0"/>
          <w:sz w:val="24"/>
          <w:szCs w:val="24"/>
        </w:rPr>
        <w:t>151</w:t>
      </w:r>
      <w:r>
        <w:rPr>
          <w:rFonts w:hint="eastAsia"/>
          <w:kern w:val="0"/>
          <w:sz w:val="24"/>
          <w:szCs w:val="24"/>
        </w:rPr>
        <w:t>人才，教育部来华留学生全英文品牌课程负责人，IEEE MTT等国际顶级期刊特约审稿人，先后担任CIIC2006、ICWMMN2006、ISCIT2007、CJCW2011、AES2014、ICCT2015、ICMAN2016、EM-MTF2017、EM-MTF2018、ISAPE2018、UCMMT2018等多个国际会议组委会主席或程序委员会主席。负责和参与了30多项科技项目，发表论文160余篇，其中被SCI和EI收录80多篇；获国家专利30余项，获省部级以上教学和科研成果奖励6项。</w:t>
      </w: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四、学术成果</w:t>
      </w:r>
    </w:p>
    <w:p>
      <w:pPr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（一）代表性论文</w:t>
      </w:r>
    </w:p>
    <w:p>
      <w:pPr>
        <w:numPr>
          <w:ilvl w:val="0"/>
          <w:numId w:val="1"/>
        </w:numPr>
        <w:spacing w:after="48" w:line="360" w:lineRule="auto"/>
        <w:ind w:left="426" w:hanging="426" w:hangingChars="202"/>
      </w:pPr>
      <w:r>
        <w:rPr>
          <w:b/>
        </w:rPr>
        <w:t>Zhiqun Cheng</w:t>
      </w:r>
      <w:r>
        <w:t>, Yong Cai, Jieliu, Yugang Zhou, Kei May Lau, and Kevin J.Chen, A Low Phase-Noise X-Band MMIC VCO Using High-Linearity and Low-Noise Composite-Channel Al</w:t>
      </w:r>
      <w:r>
        <w:rPr>
          <w:vertAlign w:val="subscript"/>
        </w:rPr>
        <w:t>0.3</w:t>
      </w:r>
      <w:r>
        <w:t>Ga</w:t>
      </w:r>
      <w:r>
        <w:rPr>
          <w:vertAlign w:val="subscript"/>
        </w:rPr>
        <w:t>0.7</w:t>
      </w:r>
      <w:r>
        <w:t>N/Al</w:t>
      </w:r>
      <w:r>
        <w:rPr>
          <w:vertAlign w:val="subscript"/>
        </w:rPr>
        <w:t>0.05</w:t>
      </w:r>
      <w:r>
        <w:t>Ga</w:t>
      </w:r>
      <w:r>
        <w:rPr>
          <w:vertAlign w:val="subscript"/>
        </w:rPr>
        <w:t>0.95</w:t>
      </w:r>
      <w:r>
        <w:t>N/GaN HEMTs, IEEE Transactions on Microwave Theory and Techniques, Vol.55, No.1, pp.23-29, January 2007.</w:t>
      </w:r>
      <w:r>
        <w:rPr>
          <w:rFonts w:hint="eastAsia"/>
        </w:rPr>
        <w:t>（</w:t>
      </w:r>
      <w:r>
        <w:t>SCI</w:t>
      </w:r>
      <w:r>
        <w:rPr>
          <w:rFonts w:hint="eastAsia"/>
          <w:lang w:val="zh-CN"/>
        </w:rPr>
        <w:t>收录</w:t>
      </w:r>
      <w:r>
        <w:rPr>
          <w:rFonts w:hint="eastAsia"/>
        </w:rPr>
        <w:t>）</w:t>
      </w:r>
    </w:p>
    <w:p>
      <w:pPr>
        <w:numPr>
          <w:ilvl w:val="0"/>
          <w:numId w:val="1"/>
        </w:numPr>
        <w:spacing w:after="48" w:line="360" w:lineRule="auto"/>
        <w:ind w:left="426" w:hanging="426" w:hangingChars="202"/>
      </w:pPr>
      <w:r>
        <w:rPr>
          <w:b/>
        </w:rPr>
        <w:t>Zhiqun Cheng</w:t>
      </w:r>
      <w:r>
        <w:t>, Jieliu, Yugang Zhou, Yong Cai, Kevin J.Chen, and Kei May Lau, Broadband Microwave Noise Characteristics of High-Linearity Composite-Channel Al</w:t>
      </w:r>
      <w:r>
        <w:rPr>
          <w:vertAlign w:val="subscript"/>
        </w:rPr>
        <w:t>0.3</w:t>
      </w:r>
      <w:r>
        <w:t>Ga</w:t>
      </w:r>
      <w:r>
        <w:rPr>
          <w:vertAlign w:val="subscript"/>
        </w:rPr>
        <w:t>0.7</w:t>
      </w:r>
      <w:r>
        <w:t>N/Al</w:t>
      </w:r>
      <w:r>
        <w:rPr>
          <w:vertAlign w:val="subscript"/>
        </w:rPr>
        <w:t>0.05</w:t>
      </w:r>
      <w:r>
        <w:t>Ga</w:t>
      </w:r>
      <w:r>
        <w:rPr>
          <w:vertAlign w:val="subscript"/>
        </w:rPr>
        <w:t>0.95</w:t>
      </w:r>
      <w:r>
        <w:t>N/GaN HEMTs, IEEE Electron Device Letters, Vol.26, No.8, pp.521-523, Aug.2005.</w:t>
      </w:r>
      <w:r>
        <w:rPr>
          <w:rFonts w:hint="eastAsia"/>
          <w:lang w:val="zh-CN"/>
        </w:rPr>
        <w:t>　</w:t>
      </w:r>
      <w:r>
        <w:rPr>
          <w:rFonts w:hint="eastAsia"/>
        </w:rPr>
        <w:t>（</w:t>
      </w:r>
      <w:r>
        <w:t>SCI</w:t>
      </w:r>
      <w:r>
        <w:rPr>
          <w:rFonts w:hint="eastAsia"/>
          <w:lang w:val="zh-CN"/>
        </w:rPr>
        <w:t>收录</w:t>
      </w:r>
      <w:r>
        <w:rPr>
          <w:rFonts w:hint="eastAsia"/>
        </w:rPr>
        <w:t>）</w:t>
      </w:r>
    </w:p>
    <w:p>
      <w:pPr>
        <w:numPr>
          <w:ilvl w:val="0"/>
          <w:numId w:val="1"/>
        </w:numPr>
        <w:spacing w:after="48" w:line="360" w:lineRule="auto"/>
        <w:ind w:left="426" w:hanging="426" w:hangingChars="202"/>
      </w:pPr>
      <w:r>
        <w:rPr>
          <w:b/>
        </w:rPr>
        <w:t>Zhiqun Cheng,</w:t>
      </w:r>
      <w:r>
        <w:t xml:space="preserve"> Dandan Zhu, Guoguo Yan, Guohua Liu, Steven Gao, A 3-7 GHz HEMT POWER AMPLIFIER, Microwave and optical technology letters, Vol. 58, No. 4, 2016.4, pp.901-904. </w:t>
      </w:r>
      <w:r>
        <w:rPr>
          <w:rFonts w:hint="eastAsia"/>
        </w:rPr>
        <w:t>（</w:t>
      </w:r>
      <w:r>
        <w:t>SCI</w:t>
      </w:r>
      <w:r>
        <w:rPr>
          <w:rFonts w:hint="eastAsia"/>
        </w:rPr>
        <w:t>、</w:t>
      </w:r>
      <w:r>
        <w:t>EI</w:t>
      </w:r>
      <w:r>
        <w:rPr>
          <w:rFonts w:hint="eastAsia"/>
        </w:rPr>
        <w:t>收录）</w:t>
      </w:r>
    </w:p>
    <w:p>
      <w:pPr>
        <w:numPr>
          <w:ilvl w:val="0"/>
          <w:numId w:val="1"/>
        </w:numPr>
        <w:spacing w:after="48" w:line="360" w:lineRule="auto"/>
        <w:ind w:left="426" w:hanging="426" w:hangingChars="202"/>
      </w:pPr>
      <w:r>
        <w:rPr>
          <w:b/>
        </w:rPr>
        <w:t>Zhiqun Cheng</w:t>
      </w:r>
      <w:r>
        <w:t>, Xi Wang, Qinna Wang, A novel modeling of millimeterwave    Al</w:t>
      </w:r>
      <w:r>
        <w:rPr>
          <w:vertAlign w:val="subscript"/>
        </w:rPr>
        <w:t>0.27</w:t>
      </w:r>
      <w:r>
        <w:t>Ga</w:t>
      </w:r>
      <w:r>
        <w:rPr>
          <w:vertAlign w:val="subscript"/>
        </w:rPr>
        <w:t>0.73</w:t>
      </w:r>
      <w:r>
        <w:t>N/AlN/GaN HEMT based on artificial neural network, Microwave and optical technology letters, Vol. 55, No. 9, September 2013, pp.2124-2127.</w:t>
      </w:r>
      <w:r>
        <w:rPr>
          <w:rFonts w:hint="eastAsia"/>
        </w:rPr>
        <w:t>（</w:t>
      </w:r>
      <w:r>
        <w:t>SCI</w:t>
      </w:r>
      <w:r>
        <w:rPr>
          <w:rFonts w:hint="eastAsia"/>
          <w:lang w:val="zh-CN"/>
        </w:rPr>
        <w:t>收录</w:t>
      </w:r>
      <w:r>
        <w:rPr>
          <w:rFonts w:hint="eastAsia"/>
        </w:rPr>
        <w:t>）</w:t>
      </w:r>
    </w:p>
    <w:p>
      <w:pPr>
        <w:numPr>
          <w:ilvl w:val="0"/>
          <w:numId w:val="1"/>
        </w:numPr>
        <w:spacing w:after="48" w:line="360" w:lineRule="auto"/>
        <w:ind w:left="426" w:hanging="426" w:hangingChars="202"/>
      </w:pPr>
      <w:r>
        <w:rPr>
          <w:b/>
        </w:rPr>
        <w:t>Zhi-qun Cheng,</w:t>
      </w:r>
      <w:r>
        <w:t xml:space="preserve"> Sha Hu, Wei-jian Zhou, and Jun Liu, Effect of composited-layer Al</w:t>
      </w:r>
      <w:r>
        <w:rPr>
          <w:vertAlign w:val="subscript"/>
        </w:rPr>
        <w:t>y</w:t>
      </w:r>
      <w:r>
        <w:t>Ga</w:t>
      </w:r>
      <w:r>
        <w:rPr>
          <w:vertAlign w:val="subscript"/>
        </w:rPr>
        <w:t>1-y</w:t>
      </w:r>
      <w:r>
        <w:t>N on performances of AlGaN/GaN HEMT with unintentionally doping barrier Al</w:t>
      </w:r>
      <w:r>
        <w:rPr>
          <w:vertAlign w:val="subscript"/>
        </w:rPr>
        <w:t>x</w:t>
      </w:r>
      <w:r>
        <w:t>Ga</w:t>
      </w:r>
      <w:r>
        <w:rPr>
          <w:vertAlign w:val="subscript"/>
        </w:rPr>
        <w:t>1-x</w:t>
      </w:r>
      <w:r>
        <w:t xml:space="preserve">N, Microwave and Optical Technology Letters, Vol.53, No.6, 2011, pp.1206-1209. </w:t>
      </w:r>
      <w:r>
        <w:rPr>
          <w:rFonts w:hint="eastAsia"/>
        </w:rPr>
        <w:t>（</w:t>
      </w:r>
      <w:r>
        <w:t>SCI</w:t>
      </w:r>
      <w:r>
        <w:rPr>
          <w:rFonts w:hint="eastAsia"/>
          <w:lang w:val="zh-CN"/>
        </w:rPr>
        <w:t>收录</w:t>
      </w:r>
      <w:r>
        <w:rPr>
          <w:rFonts w:hint="eastAsia"/>
        </w:rPr>
        <w:t>）</w:t>
      </w:r>
    </w:p>
    <w:p>
      <w:pPr>
        <w:numPr>
          <w:ilvl w:val="0"/>
          <w:numId w:val="1"/>
        </w:numPr>
        <w:spacing w:after="48" w:line="360" w:lineRule="auto"/>
        <w:ind w:left="426" w:hanging="426" w:hangingChars="202"/>
      </w:pPr>
      <w:r>
        <w:rPr>
          <w:b/>
        </w:rPr>
        <w:t>Cheng Zhiqun</w:t>
      </w:r>
      <w:r>
        <w:t xml:space="preserve">, Hu Shu, Liu Jun, and Zhang Qi-Jun, Novel model of AlGaN/GaN high electron mobility transistor based on artificial neural network, Chin.Phys.B, Vol.20,No.3, 2011, pp.1-6. </w:t>
      </w:r>
      <w:r>
        <w:rPr>
          <w:rFonts w:hint="eastAsia"/>
        </w:rPr>
        <w:t>（</w:t>
      </w:r>
      <w:r>
        <w:t>SCI</w:t>
      </w:r>
      <w:r>
        <w:rPr>
          <w:rFonts w:hint="eastAsia"/>
          <w:lang w:val="zh-CN"/>
        </w:rPr>
        <w:t>收录</w:t>
      </w:r>
      <w:r>
        <w:rPr>
          <w:rFonts w:hint="eastAsia"/>
        </w:rPr>
        <w:t>）</w:t>
      </w:r>
    </w:p>
    <w:p>
      <w:pPr>
        <w:numPr>
          <w:ilvl w:val="0"/>
          <w:numId w:val="1"/>
        </w:numPr>
        <w:spacing w:after="48" w:line="360" w:lineRule="auto"/>
        <w:ind w:left="426" w:hanging="426" w:hangingChars="202"/>
      </w:pPr>
      <w:r>
        <w:rPr>
          <w:b/>
        </w:rPr>
        <w:t>Cheng Zhi-Qun</w:t>
      </w:r>
      <w:r>
        <w:t>, Cai Yong, Liu Jie, Zhou Yu-Gang, Kei May Lau, and Chen J.Kevin, MMIC LNA based novel composite-channel Al</w:t>
      </w:r>
      <w:r>
        <w:rPr>
          <w:vertAlign w:val="subscript"/>
        </w:rPr>
        <w:t>0.3</w:t>
      </w:r>
      <w:r>
        <w:t>Ga</w:t>
      </w:r>
      <w:r>
        <w:rPr>
          <w:vertAlign w:val="subscript"/>
        </w:rPr>
        <w:t>0.7</w:t>
      </w:r>
      <w:r>
        <w:t>N/Al</w:t>
      </w:r>
      <w:r>
        <w:rPr>
          <w:vertAlign w:val="subscript"/>
        </w:rPr>
        <w:t>0.05</w:t>
      </w:r>
      <w:r>
        <w:t>Ga</w:t>
      </w:r>
      <w:r>
        <w:rPr>
          <w:vertAlign w:val="subscript"/>
        </w:rPr>
        <w:t>0.95</w:t>
      </w:r>
      <w:r>
        <w:t>N/GaN HEMTs, Chinese Physics, Vol.16, No.11, Nov. 2007, pp.3494-3497.</w:t>
      </w:r>
      <w:r>
        <w:rPr>
          <w:rFonts w:hint="eastAsia"/>
          <w:lang w:val="zh-CN"/>
        </w:rPr>
        <w:t>　</w:t>
      </w:r>
      <w:r>
        <w:rPr>
          <w:rFonts w:hint="eastAsia"/>
        </w:rPr>
        <w:t>（</w:t>
      </w:r>
      <w:r>
        <w:t>SCI</w:t>
      </w:r>
      <w:r>
        <w:rPr>
          <w:rFonts w:hint="eastAsia"/>
          <w:lang w:val="zh-CN"/>
        </w:rPr>
        <w:t>收录</w:t>
      </w:r>
      <w:r>
        <w:rPr>
          <w:rFonts w:hint="eastAsia"/>
        </w:rPr>
        <w:t>）</w:t>
      </w:r>
    </w:p>
    <w:p>
      <w:pPr>
        <w:numPr>
          <w:ilvl w:val="0"/>
          <w:numId w:val="1"/>
        </w:numPr>
        <w:spacing w:after="48" w:line="360" w:lineRule="auto"/>
        <w:ind w:left="426" w:hanging="426" w:hangingChars="202"/>
      </w:pPr>
      <w:r>
        <w:rPr>
          <w:b/>
        </w:rPr>
        <w:t>CHENG Zhi-Qun,</w:t>
      </w:r>
      <w:r>
        <w:t xml:space="preserve"> CAI Yong, LIU Jie, ZHOU Yu-Gang, LIU Zhi-Mei, CHEN Jing, Novel composite-channel Al</w:t>
      </w:r>
      <w:r>
        <w:rPr>
          <w:vertAlign w:val="subscript"/>
        </w:rPr>
        <w:t>0.3</w:t>
      </w:r>
      <w:r>
        <w:t>Ga</w:t>
      </w:r>
      <w:r>
        <w:rPr>
          <w:vertAlign w:val="subscript"/>
        </w:rPr>
        <w:t>0.7</w:t>
      </w:r>
      <w:r>
        <w:t>N/Al</w:t>
      </w:r>
      <w:r>
        <w:rPr>
          <w:vertAlign w:val="subscript"/>
        </w:rPr>
        <w:t>0.05</w:t>
      </w:r>
      <w:r>
        <w:t>Ga</w:t>
      </w:r>
      <w:r>
        <w:rPr>
          <w:vertAlign w:val="subscript"/>
        </w:rPr>
        <w:t>0.95</w:t>
      </w:r>
      <w:r>
        <w:t>N/GaN HEMT MMIC VCO with low phase noise, J.Infrared Millim.Waves, Vol.26, No.4, August, 2007, pp.241-245.</w:t>
      </w:r>
      <w:r>
        <w:rPr>
          <w:rFonts w:hint="eastAsia"/>
          <w:lang w:val="zh-CN"/>
        </w:rPr>
        <w:t>　</w:t>
      </w:r>
      <w:r>
        <w:rPr>
          <w:rFonts w:hint="eastAsia"/>
        </w:rPr>
        <w:t>（</w:t>
      </w:r>
      <w:r>
        <w:t>SCI</w:t>
      </w:r>
      <w:r>
        <w:rPr>
          <w:rFonts w:hint="eastAsia"/>
          <w:lang w:val="zh-CN"/>
        </w:rPr>
        <w:t>收录</w:t>
      </w:r>
      <w:r>
        <w:rPr>
          <w:rFonts w:hint="eastAsia"/>
        </w:rPr>
        <w:t>）</w:t>
      </w:r>
    </w:p>
    <w:p>
      <w:pPr>
        <w:numPr>
          <w:ilvl w:val="0"/>
          <w:numId w:val="1"/>
        </w:numPr>
        <w:spacing w:after="48" w:line="360" w:lineRule="auto"/>
        <w:ind w:left="426" w:hanging="426" w:hangingChars="202"/>
      </w:pPr>
      <w:r>
        <w:rPr>
          <w:b/>
        </w:rPr>
        <w:t>Zhiqun Cheng,</w:t>
      </w:r>
      <w:r>
        <w:t xml:space="preserve">Ziming Zhao,Huajie Ke, Guohua Liu, Zhihua Dong, Steven Gao, High efficiency broadband GaN HEMT power amplifier based on three-frequency point matching method, Microwave and optical technology letters,Vol.,59, No.8, 2017, pp.1850-1855. </w:t>
      </w:r>
      <w:r>
        <w:rPr>
          <w:rFonts w:hint="eastAsia"/>
        </w:rPr>
        <w:t>（</w:t>
      </w:r>
      <w:r>
        <w:t>SCI</w:t>
      </w:r>
      <w:r>
        <w:rPr>
          <w:rFonts w:hint="eastAsia"/>
        </w:rPr>
        <w:t>收录）</w:t>
      </w:r>
    </w:p>
    <w:p>
      <w:pPr>
        <w:numPr>
          <w:ilvl w:val="0"/>
          <w:numId w:val="1"/>
        </w:numPr>
        <w:spacing w:after="48" w:line="360" w:lineRule="auto"/>
        <w:ind w:left="426" w:hanging="426" w:hangingChars="202"/>
      </w:pPr>
      <w:r>
        <w:rPr>
          <w:b/>
        </w:rPr>
        <w:t>Zhiqun Cheng</w:t>
      </w:r>
      <w:r>
        <w:t xml:space="preserve">, Jie Liu, Yugang Zhou, Yong Cai, Kevin J.Chen, and Kei May Lau, .9GHz Low Noise Amplifier using High Linearity and Low-noise Composite-Channel HEMTs, Microwave and Optical Technology Letters, vol.14, No.6, Jun. 2007, pp.1360-1362. </w:t>
      </w:r>
      <w:r>
        <w:rPr>
          <w:rFonts w:hint="eastAsia"/>
        </w:rPr>
        <w:t>（</w:t>
      </w:r>
      <w:r>
        <w:t>SCI</w:t>
      </w:r>
      <w:r>
        <w:rPr>
          <w:rFonts w:hint="eastAsia"/>
          <w:lang w:val="zh-CN"/>
        </w:rPr>
        <w:t>收录</w:t>
      </w:r>
      <w:r>
        <w:rPr>
          <w:rFonts w:hint="eastAsia"/>
        </w:rPr>
        <w:t>）</w:t>
      </w: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color w:val="333333"/>
          <w:sz w:val="24"/>
          <w:szCs w:val="24"/>
          <w:shd w:val="clear" w:color="auto" w:fill="FFFFFF"/>
        </w:rPr>
        <w:t>（二）</w:t>
      </w:r>
      <w:r>
        <w:rPr>
          <w:rFonts w:hint="eastAsia" w:ascii="宋体" w:hAnsi="宋体"/>
          <w:b/>
          <w:sz w:val="24"/>
          <w:szCs w:val="24"/>
        </w:rPr>
        <w:t>代表性科研项目</w:t>
      </w:r>
    </w:p>
    <w:p>
      <w:pPr>
        <w:numPr>
          <w:ilvl w:val="0"/>
          <w:numId w:val="2"/>
        </w:num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国家自然科学基金面上项目</w:t>
      </w:r>
      <w:r>
        <w:rPr>
          <w:rFonts w:ascii="宋体" w:hAnsi="宋体"/>
          <w:sz w:val="24"/>
          <w:szCs w:val="24"/>
        </w:rPr>
        <w:t>(6187011833)</w:t>
      </w:r>
      <w:r>
        <w:rPr>
          <w:rFonts w:hint="eastAsia" w:ascii="宋体" w:hAnsi="宋体"/>
          <w:sz w:val="24"/>
          <w:szCs w:val="24"/>
        </w:rPr>
        <w:t>，新型异相宽带功率放大与合成电路关键技术研究，</w:t>
      </w:r>
      <w:r>
        <w:rPr>
          <w:rFonts w:ascii="宋体" w:hAnsi="宋体"/>
          <w:sz w:val="24"/>
          <w:szCs w:val="24"/>
        </w:rPr>
        <w:t>2019/01-2022/12</w:t>
      </w:r>
      <w:r>
        <w:rPr>
          <w:rFonts w:hint="eastAsia" w:ascii="宋体" w:hAnsi="宋体"/>
          <w:sz w:val="24"/>
          <w:szCs w:val="24"/>
        </w:rPr>
        <w:t>，主持</w:t>
      </w:r>
    </w:p>
    <w:p>
      <w:pPr>
        <w:numPr>
          <w:ilvl w:val="0"/>
          <w:numId w:val="2"/>
        </w:num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国家自然科学基金面上项目（</w:t>
      </w:r>
      <w:r>
        <w:rPr>
          <w:rFonts w:ascii="宋体" w:hAnsi="宋体"/>
          <w:sz w:val="24"/>
          <w:szCs w:val="24"/>
        </w:rPr>
        <w:t>60776052</w:t>
      </w:r>
      <w:r>
        <w:rPr>
          <w:rFonts w:hint="eastAsia" w:ascii="宋体" w:hAnsi="宋体"/>
          <w:sz w:val="24"/>
          <w:szCs w:val="24"/>
        </w:rPr>
        <w:t>），</w:t>
      </w:r>
      <w:r>
        <w:rPr>
          <w:rFonts w:ascii="宋体" w:hAnsi="宋体"/>
          <w:sz w:val="24"/>
          <w:szCs w:val="24"/>
        </w:rPr>
        <w:t>GaN</w:t>
      </w:r>
      <w:r>
        <w:rPr>
          <w:rFonts w:hint="eastAsia" w:ascii="宋体" w:hAnsi="宋体"/>
          <w:sz w:val="24"/>
          <w:szCs w:val="24"/>
        </w:rPr>
        <w:t>高线性器件及大信号模型，</w:t>
      </w:r>
      <w:r>
        <w:rPr>
          <w:rFonts w:ascii="宋体" w:hAnsi="宋体"/>
          <w:sz w:val="24"/>
          <w:szCs w:val="24"/>
        </w:rPr>
        <w:t>2008/01-2010/12</w:t>
      </w:r>
      <w:r>
        <w:rPr>
          <w:rFonts w:hint="eastAsia" w:ascii="宋体" w:hAnsi="宋体"/>
          <w:sz w:val="24"/>
          <w:szCs w:val="24"/>
        </w:rPr>
        <w:t>，主持；</w:t>
      </w:r>
    </w:p>
    <w:p>
      <w:pPr>
        <w:numPr>
          <w:ilvl w:val="0"/>
          <w:numId w:val="2"/>
        </w:num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国家自然科学基金面上项目（</w:t>
      </w:r>
      <w:r>
        <w:rPr>
          <w:rFonts w:ascii="宋体" w:hAnsi="宋体"/>
          <w:sz w:val="24"/>
          <w:szCs w:val="24"/>
        </w:rPr>
        <w:t>60476035</w:t>
      </w:r>
      <w:r>
        <w:rPr>
          <w:rFonts w:hint="eastAsia" w:ascii="宋体" w:hAnsi="宋体"/>
          <w:sz w:val="24"/>
          <w:szCs w:val="24"/>
        </w:rPr>
        <w:t>），新型半导体基带隙结构毫米波振荡器关键技术研究，</w:t>
      </w:r>
      <w:r>
        <w:rPr>
          <w:rFonts w:ascii="宋体" w:hAnsi="宋体"/>
          <w:sz w:val="24"/>
          <w:szCs w:val="24"/>
        </w:rPr>
        <w:t>2005/01-2007/12</w:t>
      </w:r>
      <w:r>
        <w:rPr>
          <w:rFonts w:hint="eastAsia" w:ascii="宋体" w:hAnsi="宋体"/>
          <w:sz w:val="24"/>
          <w:szCs w:val="24"/>
        </w:rPr>
        <w:t>，主持；</w:t>
      </w:r>
    </w:p>
    <w:p>
      <w:pPr>
        <w:numPr>
          <w:ilvl w:val="0"/>
          <w:numId w:val="2"/>
        </w:num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浙江省自然科学基金重点项目（</w:t>
      </w:r>
      <w:r>
        <w:rPr>
          <w:rFonts w:ascii="宋体" w:hAnsi="宋体"/>
          <w:sz w:val="24"/>
          <w:szCs w:val="24"/>
        </w:rPr>
        <w:t>LZ16F010001</w:t>
      </w:r>
      <w:r>
        <w:rPr>
          <w:rFonts w:hint="eastAsia" w:ascii="宋体" w:hAnsi="宋体"/>
          <w:sz w:val="24"/>
          <w:szCs w:val="24"/>
        </w:rPr>
        <w:t>），</w:t>
      </w:r>
      <w:r>
        <w:rPr>
          <w:rFonts w:ascii="宋体" w:hAnsi="宋体"/>
          <w:sz w:val="24"/>
          <w:szCs w:val="24"/>
        </w:rPr>
        <w:t>GaN</w:t>
      </w:r>
      <w:r>
        <w:rPr>
          <w:rFonts w:hint="eastAsia" w:ascii="宋体" w:hAnsi="宋体"/>
          <w:sz w:val="24"/>
          <w:szCs w:val="24"/>
        </w:rPr>
        <w:t>宽带高效率连续</w:t>
      </w:r>
      <w:r>
        <w:rPr>
          <w:rFonts w:ascii="宋体" w:hAnsi="宋体"/>
          <w:sz w:val="24"/>
          <w:szCs w:val="24"/>
        </w:rPr>
        <w:t>F</w:t>
      </w:r>
      <w:r>
        <w:rPr>
          <w:rFonts w:hint="eastAsia" w:ascii="宋体" w:hAnsi="宋体"/>
          <w:sz w:val="24"/>
          <w:szCs w:val="24"/>
        </w:rPr>
        <w:t>类功率放大器关键技术研究，</w:t>
      </w:r>
      <w:r>
        <w:rPr>
          <w:rFonts w:ascii="宋体" w:hAnsi="宋体"/>
          <w:sz w:val="24"/>
          <w:szCs w:val="24"/>
        </w:rPr>
        <w:t>2016/01-2019/12</w:t>
      </w:r>
      <w:r>
        <w:rPr>
          <w:rFonts w:hint="eastAsia" w:ascii="宋体" w:hAnsi="宋体"/>
          <w:sz w:val="24"/>
          <w:szCs w:val="24"/>
        </w:rPr>
        <w:t>，主持；</w:t>
      </w:r>
    </w:p>
    <w:p>
      <w:pPr>
        <w:numPr>
          <w:ilvl w:val="0"/>
          <w:numId w:val="2"/>
        </w:num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浙江省自然科学基金重点项目（</w:t>
      </w:r>
      <w:r>
        <w:rPr>
          <w:rFonts w:ascii="宋体" w:hAnsi="宋体"/>
          <w:sz w:val="24"/>
          <w:szCs w:val="24"/>
        </w:rPr>
        <w:t>Z1110937</w:t>
      </w:r>
      <w:r>
        <w:rPr>
          <w:rFonts w:hint="eastAsia" w:ascii="宋体" w:hAnsi="宋体"/>
          <w:sz w:val="24"/>
          <w:szCs w:val="24"/>
        </w:rPr>
        <w:t>），</w:t>
      </w:r>
      <w:r>
        <w:rPr>
          <w:rFonts w:ascii="宋体" w:hAnsi="宋体"/>
          <w:sz w:val="24"/>
          <w:szCs w:val="24"/>
        </w:rPr>
        <w:t>GaN HEMT</w:t>
      </w:r>
      <w:r>
        <w:rPr>
          <w:rFonts w:hint="eastAsia" w:ascii="宋体" w:hAnsi="宋体"/>
          <w:sz w:val="24"/>
          <w:szCs w:val="24"/>
        </w:rPr>
        <w:t>毫米波单片集成功率放大器关键技术研究，</w:t>
      </w:r>
      <w:r>
        <w:rPr>
          <w:rFonts w:ascii="宋体" w:hAnsi="宋体"/>
          <w:sz w:val="24"/>
          <w:szCs w:val="24"/>
        </w:rPr>
        <w:t>2011/1-2013/12</w:t>
      </w:r>
      <w:r>
        <w:rPr>
          <w:rFonts w:hint="eastAsia" w:ascii="宋体" w:hAnsi="宋体"/>
          <w:sz w:val="24"/>
          <w:szCs w:val="24"/>
        </w:rPr>
        <w:t>，主持。</w:t>
      </w: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（三）知识产权</w:t>
      </w:r>
    </w:p>
    <w:p>
      <w:pPr>
        <w:numPr>
          <w:ilvl w:val="0"/>
          <w:numId w:val="3"/>
        </w:numPr>
        <w:spacing w:line="360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程知群</w:t>
      </w:r>
      <w:r>
        <w:rPr>
          <w:rFonts w:hint="eastAsia" w:ascii="宋体" w:hAnsi="宋体"/>
          <w:bCs/>
          <w:sz w:val="24"/>
          <w:szCs w:val="24"/>
        </w:rPr>
        <w:t>，王凯，董志华，刘国华，周涛，柯华杰，</w:t>
      </w:r>
      <w:r>
        <w:rPr>
          <w:rFonts w:ascii="宋体" w:hAnsi="宋体"/>
          <w:bCs/>
          <w:sz w:val="24"/>
          <w:szCs w:val="24"/>
        </w:rPr>
        <w:t>AlGaN/GaN HEMT</w:t>
      </w:r>
      <w:r>
        <w:rPr>
          <w:rFonts w:hint="eastAsia" w:ascii="宋体" w:hAnsi="宋体"/>
          <w:bCs/>
          <w:sz w:val="24"/>
          <w:szCs w:val="24"/>
        </w:rPr>
        <w:t>压力传感器工艺实现方法，发明专利号：</w:t>
      </w:r>
      <w:r>
        <w:rPr>
          <w:rFonts w:ascii="宋体" w:hAnsi="宋体"/>
          <w:bCs/>
          <w:sz w:val="24"/>
          <w:szCs w:val="24"/>
        </w:rPr>
        <w:t>ZL 2015 1 01060791.9</w:t>
      </w:r>
      <w:r>
        <w:rPr>
          <w:rFonts w:hint="eastAsia" w:ascii="宋体" w:hAnsi="宋体"/>
          <w:bCs/>
          <w:sz w:val="24"/>
          <w:szCs w:val="24"/>
        </w:rPr>
        <w:t>；专利申请日：</w:t>
      </w:r>
      <w:r>
        <w:rPr>
          <w:rFonts w:ascii="宋体" w:hAnsi="宋体"/>
          <w:bCs/>
          <w:sz w:val="24"/>
          <w:szCs w:val="24"/>
        </w:rPr>
        <w:t>2015</w:t>
      </w:r>
      <w:r>
        <w:rPr>
          <w:rFonts w:hint="eastAsia" w:ascii="宋体" w:hAnsi="宋体"/>
          <w:bCs/>
          <w:sz w:val="24"/>
          <w:szCs w:val="24"/>
        </w:rPr>
        <w:t>年</w:t>
      </w:r>
      <w:r>
        <w:rPr>
          <w:rFonts w:ascii="宋体" w:hAnsi="宋体"/>
          <w:bCs/>
          <w:sz w:val="24"/>
          <w:szCs w:val="24"/>
        </w:rPr>
        <w:t>04</w:t>
      </w:r>
      <w:r>
        <w:rPr>
          <w:rFonts w:hint="eastAsia" w:ascii="宋体" w:hAnsi="宋体"/>
          <w:bCs/>
          <w:sz w:val="24"/>
          <w:szCs w:val="24"/>
        </w:rPr>
        <w:t>月</w:t>
      </w:r>
      <w:r>
        <w:rPr>
          <w:rFonts w:ascii="宋体" w:hAnsi="宋体"/>
          <w:bCs/>
          <w:sz w:val="24"/>
          <w:szCs w:val="24"/>
        </w:rPr>
        <w:t>07</w:t>
      </w:r>
      <w:r>
        <w:rPr>
          <w:rFonts w:hint="eastAsia" w:ascii="宋体" w:hAnsi="宋体"/>
          <w:bCs/>
          <w:sz w:val="24"/>
          <w:szCs w:val="24"/>
        </w:rPr>
        <w:t>日；授权公告日：</w:t>
      </w:r>
      <w:r>
        <w:rPr>
          <w:rFonts w:ascii="宋体" w:hAnsi="宋体"/>
          <w:bCs/>
          <w:sz w:val="24"/>
          <w:szCs w:val="24"/>
        </w:rPr>
        <w:t>2018</w:t>
      </w:r>
      <w:r>
        <w:rPr>
          <w:rFonts w:hint="eastAsia" w:ascii="宋体" w:hAnsi="宋体"/>
          <w:bCs/>
          <w:sz w:val="24"/>
          <w:szCs w:val="24"/>
        </w:rPr>
        <w:t>年</w:t>
      </w:r>
      <w:r>
        <w:rPr>
          <w:rFonts w:ascii="宋体" w:hAnsi="宋体"/>
          <w:bCs/>
          <w:sz w:val="24"/>
          <w:szCs w:val="24"/>
        </w:rPr>
        <w:t>06</w:t>
      </w:r>
      <w:r>
        <w:rPr>
          <w:rFonts w:hint="eastAsia" w:ascii="宋体" w:hAnsi="宋体"/>
          <w:bCs/>
          <w:sz w:val="24"/>
          <w:szCs w:val="24"/>
        </w:rPr>
        <w:t>月</w:t>
      </w:r>
      <w:r>
        <w:rPr>
          <w:rFonts w:ascii="宋体" w:hAnsi="宋体"/>
          <w:bCs/>
          <w:sz w:val="24"/>
          <w:szCs w:val="24"/>
        </w:rPr>
        <w:t>05</w:t>
      </w:r>
      <w:r>
        <w:rPr>
          <w:rFonts w:hint="eastAsia" w:ascii="宋体" w:hAnsi="宋体"/>
          <w:bCs/>
          <w:sz w:val="24"/>
          <w:szCs w:val="24"/>
        </w:rPr>
        <w:t>日</w:t>
      </w:r>
    </w:p>
    <w:p>
      <w:pPr>
        <w:numPr>
          <w:ilvl w:val="0"/>
          <w:numId w:val="3"/>
        </w:numPr>
        <w:spacing w:line="360" w:lineRule="auto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 w:cs="Sun-ExtA"/>
          <w:b/>
          <w:sz w:val="24"/>
          <w:szCs w:val="24"/>
        </w:rPr>
        <w:t>程知群</w:t>
      </w:r>
      <w:r>
        <w:rPr>
          <w:rFonts w:hint="eastAsia" w:ascii="宋体" w:hAnsi="宋体" w:cs="Sun-ExtA"/>
          <w:sz w:val="24"/>
          <w:szCs w:val="24"/>
        </w:rPr>
        <w:t>，连心想，栾雅，贾民仕，一种数字DC-DC开关电源电路，发明专利号：ZL 2014 1 0486868.7 专利申请日：2014年09月22日，中国，授权公告日：2017年06月23日</w:t>
      </w:r>
    </w:p>
    <w:p>
      <w:pPr>
        <w:numPr>
          <w:ilvl w:val="0"/>
          <w:numId w:val="3"/>
        </w:numPr>
        <w:spacing w:line="360" w:lineRule="auto"/>
        <w:rPr>
          <w:rFonts w:ascii="宋体" w:hAnsi="宋体" w:cs="Sun-ExtA"/>
          <w:sz w:val="24"/>
          <w:szCs w:val="24"/>
        </w:rPr>
      </w:pPr>
      <w:r>
        <w:rPr>
          <w:rFonts w:hint="eastAsia" w:ascii="宋体" w:hAnsi="宋体" w:cs="Sun-ExtA"/>
          <w:b/>
          <w:sz w:val="24"/>
          <w:szCs w:val="24"/>
        </w:rPr>
        <w:t>程知群</w:t>
      </w:r>
      <w:r>
        <w:rPr>
          <w:rFonts w:hint="eastAsia" w:ascii="宋体" w:hAnsi="宋体" w:cs="Sun-ExtA"/>
          <w:sz w:val="24"/>
          <w:szCs w:val="24"/>
        </w:rPr>
        <w:t>，连心想，贾民仕，栾雅，一种光敏太阳定位传感器，发明专利号：ZL 2013 1 0668555.9 专利申请日：2013年12月11日，中国，授权公告日：2016年09月07日</w:t>
      </w:r>
    </w:p>
    <w:p>
      <w:pPr>
        <w:numPr>
          <w:ilvl w:val="0"/>
          <w:numId w:val="3"/>
        </w:numPr>
        <w:spacing w:line="360" w:lineRule="auto"/>
        <w:rPr>
          <w:rFonts w:ascii="宋体" w:hAnsi="宋体" w:cs="黑体"/>
          <w:sz w:val="24"/>
          <w:szCs w:val="24"/>
        </w:rPr>
      </w:pPr>
      <w:r>
        <w:rPr>
          <w:rFonts w:hint="eastAsia" w:ascii="宋体" w:hAnsi="宋体" w:cs="Sun-ExtA"/>
          <w:b/>
          <w:sz w:val="24"/>
          <w:szCs w:val="24"/>
        </w:rPr>
        <w:t>程知群</w:t>
      </w:r>
      <w:r>
        <w:rPr>
          <w:rFonts w:hint="eastAsia" w:ascii="宋体" w:hAnsi="宋体" w:cs="Sun-ExtA"/>
          <w:sz w:val="24"/>
          <w:szCs w:val="24"/>
        </w:rPr>
        <w:t>，栾雅，贾明仕，连心想，</w:t>
      </w:r>
      <w:bookmarkStart w:id="0" w:name="OLE_LINK8"/>
      <w:r>
        <w:rPr>
          <w:rFonts w:hint="eastAsia" w:ascii="宋体" w:hAnsi="宋体" w:cs="Sun-ExtA"/>
          <w:sz w:val="24"/>
          <w:szCs w:val="24"/>
        </w:rPr>
        <w:t>一种宽带落入式微带铁氧体隔离器</w:t>
      </w:r>
      <w:bookmarkEnd w:id="0"/>
      <w:r>
        <w:rPr>
          <w:rFonts w:hint="eastAsia" w:ascii="宋体" w:hAnsi="宋体" w:cs="Sun-ExtA"/>
          <w:sz w:val="24"/>
          <w:szCs w:val="24"/>
        </w:rPr>
        <w:t xml:space="preserve">，发明专利号：ZL 2014 1 0006154.1，专利申请日：2014年1月6日，中国，专利授权公告日：2015年11月18日 </w:t>
      </w:r>
    </w:p>
    <w:p>
      <w:pPr>
        <w:numPr>
          <w:ilvl w:val="0"/>
          <w:numId w:val="3"/>
        </w:numPr>
        <w:spacing w:line="360" w:lineRule="auto"/>
        <w:rPr>
          <w:rFonts w:ascii="宋体" w:hAnsi="宋体" w:cs="黑体"/>
          <w:sz w:val="24"/>
          <w:szCs w:val="24"/>
        </w:rPr>
      </w:pPr>
      <w:r>
        <w:rPr>
          <w:rFonts w:hint="eastAsia" w:ascii="宋体" w:hAnsi="宋体" w:cs="Sun-ExtA"/>
          <w:b/>
          <w:sz w:val="24"/>
          <w:szCs w:val="24"/>
        </w:rPr>
        <w:t>程知群</w:t>
      </w:r>
      <w:r>
        <w:rPr>
          <w:rFonts w:hint="eastAsia" w:ascii="宋体" w:hAnsi="宋体" w:cs="Sun-ExtA"/>
          <w:sz w:val="24"/>
          <w:szCs w:val="24"/>
        </w:rPr>
        <w:t>，周肖鹏，周伟坚，胡莎，提高氮化镓高电子迁移率晶体管特征频率和线性度的方法，发明专利号：ZL2009 1 0100977.X，专利申请日：2009年8月6日，中国，授权公告日：2010年10月27日</w:t>
      </w:r>
    </w:p>
    <w:p>
      <w:pPr>
        <w:numPr>
          <w:ilvl w:val="0"/>
          <w:numId w:val="3"/>
        </w:numPr>
        <w:spacing w:line="360" w:lineRule="auto"/>
        <w:rPr>
          <w:rFonts w:ascii="宋体" w:hAnsi="宋体" w:cs="黑体"/>
          <w:sz w:val="24"/>
          <w:szCs w:val="24"/>
        </w:rPr>
      </w:pPr>
      <w:r>
        <w:rPr>
          <w:rFonts w:hint="eastAsia" w:ascii="宋体" w:hAnsi="宋体" w:cs="Sun-ExtA"/>
          <w:b/>
          <w:sz w:val="24"/>
          <w:szCs w:val="24"/>
        </w:rPr>
        <w:t>程知群</w:t>
      </w:r>
      <w:r>
        <w:rPr>
          <w:rFonts w:hint="eastAsia" w:ascii="宋体" w:hAnsi="宋体" w:cs="Sun-ExtA"/>
          <w:sz w:val="24"/>
          <w:szCs w:val="24"/>
        </w:rPr>
        <w:t xml:space="preserve">，孙晓玮，“一种微小芯片倒扣工艺技术”，发明专利号：ZL1367529 专利申请日：2002年2月22日，中国，授权公告日：2004年9月15日 </w:t>
      </w:r>
    </w:p>
    <w:p>
      <w:pPr>
        <w:spacing w:line="360" w:lineRule="auto"/>
        <w:ind w:firstLine="480" w:firstLineChars="200"/>
        <w:rPr>
          <w:rFonts w:ascii="宋体" w:hAnsi="宋体"/>
          <w:color w:val="333333"/>
          <w:sz w:val="24"/>
          <w:szCs w:val="24"/>
          <w:shd w:val="clear" w:color="auto" w:fill="FFFFFF"/>
        </w:rPr>
      </w:pP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五、主要荣誉</w:t>
      </w:r>
    </w:p>
    <w:p>
      <w:pPr>
        <w:numPr>
          <w:ilvl w:val="0"/>
          <w:numId w:val="4"/>
        </w:numPr>
        <w:spacing w:line="360" w:lineRule="auto"/>
        <w:ind w:right="336" w:rightChars="16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“高性能小型化微波电路研究”，江西省自然科学二等奖，江西省人民政府，2012；</w:t>
      </w:r>
    </w:p>
    <w:p>
      <w:pPr>
        <w:numPr>
          <w:ilvl w:val="0"/>
          <w:numId w:val="4"/>
        </w:numPr>
        <w:spacing w:line="360" w:lineRule="auto"/>
        <w:ind w:right="336" w:rightChars="16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柴油机高效节能技术与装置，安徽省科技成果，1997；</w:t>
      </w:r>
    </w:p>
    <w:p>
      <w:pPr>
        <w:numPr>
          <w:ilvl w:val="0"/>
          <w:numId w:val="4"/>
        </w:numPr>
        <w:spacing w:line="360" w:lineRule="auto"/>
        <w:ind w:right="336" w:rightChars="16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金属表面耐磨镀层的研究，安徽省科技成果，1993；</w:t>
      </w:r>
    </w:p>
    <w:p>
      <w:pPr>
        <w:numPr>
          <w:ilvl w:val="0"/>
          <w:numId w:val="4"/>
        </w:numPr>
        <w:spacing w:line="360" w:lineRule="auto"/>
        <w:ind w:right="336" w:rightChars="16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指导研究生获得2018年“兆易创新杯”第十三届全国研究生电子设计竞赛全国总决赛一等奖；并获优秀指导老师称号；</w:t>
      </w:r>
    </w:p>
    <w:p>
      <w:pPr>
        <w:numPr>
          <w:ilvl w:val="0"/>
          <w:numId w:val="4"/>
        </w:num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指导研究生获得2017年“华为杯”第十二届全国研究生电子设计竞赛全国总决赛一等奖；并获优秀指导老师称号。</w:t>
      </w:r>
    </w:p>
    <w:p>
      <w:pPr>
        <w:numPr>
          <w:ilvl w:val="0"/>
          <w:numId w:val="4"/>
        </w:num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指导研究生获得2015年“华为杯”第十届全国研究生电子设计竞赛全国总决赛一等奖；并获优秀指导老师称号。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六、学术兼职</w:t>
      </w:r>
    </w:p>
    <w:p>
      <w:pPr>
        <w:spacing w:line="360" w:lineRule="auto"/>
        <w:ind w:firstLine="456" w:firstLineChars="200"/>
        <w:rPr>
          <w:rFonts w:ascii="宋体" w:hAnsi="宋体"/>
          <w:spacing w:val="-6"/>
          <w:sz w:val="24"/>
          <w:szCs w:val="24"/>
        </w:rPr>
      </w:pPr>
      <w:r>
        <w:rPr>
          <w:rFonts w:hint="eastAsia" w:ascii="宋体" w:hAnsi="宋体"/>
          <w:spacing w:val="-6"/>
          <w:sz w:val="24"/>
          <w:szCs w:val="24"/>
        </w:rPr>
        <w:t>IEEE ED会员，中国电子学会会员，浙江省电子学会理事，IEEE MTT等多个国内外期刊审稿人，中国电子学会半导体与集成技术分会委员、中国微波学会微波集成电路与移动通信专业委员会委员、国家自然科学基金网评专家、教育部学位与研究生教育发展中心评审专家、浙江省自然科学基金评审专家。</w:t>
      </w:r>
    </w:p>
    <w:p>
      <w:pPr>
        <w:rPr>
          <w:szCs w:val="24"/>
        </w:rPr>
      </w:pPr>
    </w:p>
    <w:p>
      <w:pPr>
        <w:adjustRightInd w:val="0"/>
        <w:snapToGrid w:val="0"/>
        <w:spacing w:line="360" w:lineRule="auto"/>
        <w:ind w:firstLine="482" w:firstLineChars="200"/>
        <w:rPr>
          <w:b/>
          <w:color w:val="FF6600"/>
          <w:kern w:val="0"/>
          <w:sz w:val="24"/>
          <w:szCs w:val="24"/>
        </w:rPr>
      </w:pPr>
    </w:p>
    <w:p>
      <w:pPr>
        <w:rPr>
          <w:sz w:val="30"/>
          <w:szCs w:val="30"/>
        </w:rPr>
      </w:pPr>
      <w:bookmarkStart w:id="1" w:name="_GoBack"/>
      <w:bookmarkEnd w:id="1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entury">
    <w:altName w:val="Times New Roman"/>
    <w:panose1 w:val="02040604050505020304"/>
    <w:charset w:val="00"/>
    <w:family w:val="roman"/>
    <w:pitch w:val="default"/>
    <w:sig w:usb0="00000000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un-ExtA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UnicodeMS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dvGulliv-R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dvGulliv-I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54</w:t>
    </w:r>
    <w:r>
      <w:rPr>
        <w:lang w:val="zh-CN"/>
      </w:rPr>
      <w:fldChar w:fldCharType="end"/>
    </w:r>
  </w:p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4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50CB6"/>
    <w:multiLevelType w:val="multilevel"/>
    <w:tmpl w:val="02B50CB6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D920F1"/>
    <w:multiLevelType w:val="multilevel"/>
    <w:tmpl w:val="0CD920F1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191B1B"/>
    <w:multiLevelType w:val="multilevel"/>
    <w:tmpl w:val="11191B1B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67B14A9"/>
    <w:multiLevelType w:val="multilevel"/>
    <w:tmpl w:val="167B14A9"/>
    <w:lvl w:ilvl="0" w:tentative="0">
      <w:start w:val="1"/>
      <w:numFmt w:val="decimal"/>
      <w:lvlText w:val="%1)"/>
      <w:lvlJc w:val="left"/>
      <w:pPr>
        <w:ind w:left="813" w:hanging="420"/>
      </w:pPr>
    </w:lvl>
    <w:lvl w:ilvl="1" w:tentative="0">
      <w:start w:val="1"/>
      <w:numFmt w:val="lowerLetter"/>
      <w:lvlText w:val="%2)"/>
      <w:lvlJc w:val="left"/>
      <w:pPr>
        <w:ind w:left="1233" w:hanging="420"/>
      </w:pPr>
    </w:lvl>
    <w:lvl w:ilvl="2" w:tentative="0">
      <w:start w:val="1"/>
      <w:numFmt w:val="lowerRoman"/>
      <w:lvlText w:val="%3."/>
      <w:lvlJc w:val="right"/>
      <w:pPr>
        <w:ind w:left="1653" w:hanging="420"/>
      </w:pPr>
    </w:lvl>
    <w:lvl w:ilvl="3" w:tentative="0">
      <w:start w:val="1"/>
      <w:numFmt w:val="decimal"/>
      <w:lvlText w:val="%4."/>
      <w:lvlJc w:val="left"/>
      <w:pPr>
        <w:ind w:left="2073" w:hanging="420"/>
      </w:pPr>
    </w:lvl>
    <w:lvl w:ilvl="4" w:tentative="0">
      <w:start w:val="1"/>
      <w:numFmt w:val="lowerLetter"/>
      <w:lvlText w:val="%5)"/>
      <w:lvlJc w:val="left"/>
      <w:pPr>
        <w:ind w:left="2493" w:hanging="420"/>
      </w:pPr>
    </w:lvl>
    <w:lvl w:ilvl="5" w:tentative="0">
      <w:start w:val="1"/>
      <w:numFmt w:val="lowerRoman"/>
      <w:lvlText w:val="%6."/>
      <w:lvlJc w:val="right"/>
      <w:pPr>
        <w:ind w:left="2913" w:hanging="420"/>
      </w:pPr>
    </w:lvl>
    <w:lvl w:ilvl="6" w:tentative="0">
      <w:start w:val="1"/>
      <w:numFmt w:val="decimal"/>
      <w:lvlText w:val="%7."/>
      <w:lvlJc w:val="left"/>
      <w:pPr>
        <w:ind w:left="3333" w:hanging="420"/>
      </w:pPr>
    </w:lvl>
    <w:lvl w:ilvl="7" w:tentative="0">
      <w:start w:val="1"/>
      <w:numFmt w:val="lowerLetter"/>
      <w:lvlText w:val="%8)"/>
      <w:lvlJc w:val="left"/>
      <w:pPr>
        <w:ind w:left="3753" w:hanging="420"/>
      </w:pPr>
    </w:lvl>
    <w:lvl w:ilvl="8" w:tentative="0">
      <w:start w:val="1"/>
      <w:numFmt w:val="lowerRoman"/>
      <w:lvlText w:val="%9."/>
      <w:lvlJc w:val="right"/>
      <w:pPr>
        <w:ind w:left="4173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AF09E8"/>
    <w:rsid w:val="000007B0"/>
    <w:rsid w:val="00005DE6"/>
    <w:rsid w:val="00012881"/>
    <w:rsid w:val="00012AFB"/>
    <w:rsid w:val="00013088"/>
    <w:rsid w:val="00016CAB"/>
    <w:rsid w:val="00017EC3"/>
    <w:rsid w:val="00020407"/>
    <w:rsid w:val="00020F2D"/>
    <w:rsid w:val="00030637"/>
    <w:rsid w:val="00047505"/>
    <w:rsid w:val="00056122"/>
    <w:rsid w:val="00056671"/>
    <w:rsid w:val="000607A1"/>
    <w:rsid w:val="00076F7E"/>
    <w:rsid w:val="00087892"/>
    <w:rsid w:val="000B6048"/>
    <w:rsid w:val="000C1063"/>
    <w:rsid w:val="000D64A0"/>
    <w:rsid w:val="000D7343"/>
    <w:rsid w:val="00112D9F"/>
    <w:rsid w:val="00134550"/>
    <w:rsid w:val="00134CC8"/>
    <w:rsid w:val="0014113B"/>
    <w:rsid w:val="00150797"/>
    <w:rsid w:val="00166A4F"/>
    <w:rsid w:val="00185C19"/>
    <w:rsid w:val="00195EB9"/>
    <w:rsid w:val="001A10A9"/>
    <w:rsid w:val="001B0CAF"/>
    <w:rsid w:val="001B1AA2"/>
    <w:rsid w:val="001B7AAB"/>
    <w:rsid w:val="001C4F96"/>
    <w:rsid w:val="001D193E"/>
    <w:rsid w:val="001E672E"/>
    <w:rsid w:val="001E7A08"/>
    <w:rsid w:val="001F2952"/>
    <w:rsid w:val="001F571E"/>
    <w:rsid w:val="00201C09"/>
    <w:rsid w:val="0020439F"/>
    <w:rsid w:val="002054B3"/>
    <w:rsid w:val="00206952"/>
    <w:rsid w:val="00213FE4"/>
    <w:rsid w:val="00220AB5"/>
    <w:rsid w:val="0028205B"/>
    <w:rsid w:val="0029432B"/>
    <w:rsid w:val="002A369C"/>
    <w:rsid w:val="002B6A40"/>
    <w:rsid w:val="002C4D42"/>
    <w:rsid w:val="002C5D6D"/>
    <w:rsid w:val="002F5EE0"/>
    <w:rsid w:val="00304164"/>
    <w:rsid w:val="003076A0"/>
    <w:rsid w:val="0031446C"/>
    <w:rsid w:val="00322730"/>
    <w:rsid w:val="00331526"/>
    <w:rsid w:val="003535CF"/>
    <w:rsid w:val="003543DD"/>
    <w:rsid w:val="0035559D"/>
    <w:rsid w:val="003634BC"/>
    <w:rsid w:val="003A3876"/>
    <w:rsid w:val="003B0C08"/>
    <w:rsid w:val="003D4830"/>
    <w:rsid w:val="003D4FCD"/>
    <w:rsid w:val="003E4D43"/>
    <w:rsid w:val="003E5D54"/>
    <w:rsid w:val="003F2700"/>
    <w:rsid w:val="003F3542"/>
    <w:rsid w:val="003F5E72"/>
    <w:rsid w:val="003F657B"/>
    <w:rsid w:val="00416DFF"/>
    <w:rsid w:val="0043082B"/>
    <w:rsid w:val="004336C4"/>
    <w:rsid w:val="00441510"/>
    <w:rsid w:val="0044456A"/>
    <w:rsid w:val="00465FA8"/>
    <w:rsid w:val="004847FE"/>
    <w:rsid w:val="00485A4A"/>
    <w:rsid w:val="00487AC2"/>
    <w:rsid w:val="004A5200"/>
    <w:rsid w:val="004B2D0B"/>
    <w:rsid w:val="0050261C"/>
    <w:rsid w:val="00523422"/>
    <w:rsid w:val="00532FB0"/>
    <w:rsid w:val="00563E34"/>
    <w:rsid w:val="005728A2"/>
    <w:rsid w:val="00580528"/>
    <w:rsid w:val="005B049F"/>
    <w:rsid w:val="005B2556"/>
    <w:rsid w:val="005C41AC"/>
    <w:rsid w:val="005D19E7"/>
    <w:rsid w:val="005D5B2D"/>
    <w:rsid w:val="005E2FAB"/>
    <w:rsid w:val="005F1053"/>
    <w:rsid w:val="00603664"/>
    <w:rsid w:val="00604910"/>
    <w:rsid w:val="00626494"/>
    <w:rsid w:val="0064011E"/>
    <w:rsid w:val="00644EB3"/>
    <w:rsid w:val="00645A96"/>
    <w:rsid w:val="00651579"/>
    <w:rsid w:val="006568ED"/>
    <w:rsid w:val="006764F7"/>
    <w:rsid w:val="006775B3"/>
    <w:rsid w:val="006A717A"/>
    <w:rsid w:val="006B3EDB"/>
    <w:rsid w:val="006C10C2"/>
    <w:rsid w:val="006C2739"/>
    <w:rsid w:val="006C35BF"/>
    <w:rsid w:val="006E4172"/>
    <w:rsid w:val="006F1DBE"/>
    <w:rsid w:val="007052FE"/>
    <w:rsid w:val="007139CA"/>
    <w:rsid w:val="007300D9"/>
    <w:rsid w:val="00734E08"/>
    <w:rsid w:val="007434A3"/>
    <w:rsid w:val="007457DC"/>
    <w:rsid w:val="00753A5C"/>
    <w:rsid w:val="00762738"/>
    <w:rsid w:val="0077626E"/>
    <w:rsid w:val="00780313"/>
    <w:rsid w:val="00786BCB"/>
    <w:rsid w:val="00793784"/>
    <w:rsid w:val="007A4ED4"/>
    <w:rsid w:val="007C227B"/>
    <w:rsid w:val="007C2674"/>
    <w:rsid w:val="007C636D"/>
    <w:rsid w:val="007C7AC2"/>
    <w:rsid w:val="007D02B2"/>
    <w:rsid w:val="007D69D4"/>
    <w:rsid w:val="007E659E"/>
    <w:rsid w:val="007E79AB"/>
    <w:rsid w:val="00801511"/>
    <w:rsid w:val="00812EE1"/>
    <w:rsid w:val="00813E08"/>
    <w:rsid w:val="00817228"/>
    <w:rsid w:val="00817C78"/>
    <w:rsid w:val="00835F0C"/>
    <w:rsid w:val="00840634"/>
    <w:rsid w:val="00844420"/>
    <w:rsid w:val="00863795"/>
    <w:rsid w:val="00871FF7"/>
    <w:rsid w:val="00896CCF"/>
    <w:rsid w:val="008A31E6"/>
    <w:rsid w:val="008B5460"/>
    <w:rsid w:val="008C20E9"/>
    <w:rsid w:val="008E607C"/>
    <w:rsid w:val="008F4F98"/>
    <w:rsid w:val="008F6A7E"/>
    <w:rsid w:val="0091509D"/>
    <w:rsid w:val="009321DF"/>
    <w:rsid w:val="0093337D"/>
    <w:rsid w:val="00934B87"/>
    <w:rsid w:val="0094623A"/>
    <w:rsid w:val="00965534"/>
    <w:rsid w:val="0097360F"/>
    <w:rsid w:val="00985BB2"/>
    <w:rsid w:val="009A0F85"/>
    <w:rsid w:val="009A1B94"/>
    <w:rsid w:val="009A2312"/>
    <w:rsid w:val="009B1063"/>
    <w:rsid w:val="009C24E3"/>
    <w:rsid w:val="009F4E85"/>
    <w:rsid w:val="00A30426"/>
    <w:rsid w:val="00A426BC"/>
    <w:rsid w:val="00A42948"/>
    <w:rsid w:val="00A55C7A"/>
    <w:rsid w:val="00A62453"/>
    <w:rsid w:val="00A70957"/>
    <w:rsid w:val="00A70D55"/>
    <w:rsid w:val="00A95B5C"/>
    <w:rsid w:val="00AA3A5F"/>
    <w:rsid w:val="00AC1F3E"/>
    <w:rsid w:val="00AC4C25"/>
    <w:rsid w:val="00AD42E9"/>
    <w:rsid w:val="00AD631C"/>
    <w:rsid w:val="00AF09E8"/>
    <w:rsid w:val="00B03E18"/>
    <w:rsid w:val="00B32B2B"/>
    <w:rsid w:val="00B371FC"/>
    <w:rsid w:val="00B4213A"/>
    <w:rsid w:val="00B4309A"/>
    <w:rsid w:val="00B56171"/>
    <w:rsid w:val="00B57480"/>
    <w:rsid w:val="00B62F9A"/>
    <w:rsid w:val="00B64C90"/>
    <w:rsid w:val="00B7142E"/>
    <w:rsid w:val="00B77571"/>
    <w:rsid w:val="00B85033"/>
    <w:rsid w:val="00BC23EB"/>
    <w:rsid w:val="00BD19F9"/>
    <w:rsid w:val="00BD2283"/>
    <w:rsid w:val="00BD7AD8"/>
    <w:rsid w:val="00BD7E97"/>
    <w:rsid w:val="00BE244A"/>
    <w:rsid w:val="00BF5F45"/>
    <w:rsid w:val="00C03237"/>
    <w:rsid w:val="00C109DB"/>
    <w:rsid w:val="00C17F5D"/>
    <w:rsid w:val="00C25BB3"/>
    <w:rsid w:val="00C532A5"/>
    <w:rsid w:val="00C57A2B"/>
    <w:rsid w:val="00C65FDE"/>
    <w:rsid w:val="00C74F77"/>
    <w:rsid w:val="00C773D7"/>
    <w:rsid w:val="00C94CF4"/>
    <w:rsid w:val="00C94FB9"/>
    <w:rsid w:val="00CA1B8F"/>
    <w:rsid w:val="00CA1E86"/>
    <w:rsid w:val="00CA272F"/>
    <w:rsid w:val="00CA307F"/>
    <w:rsid w:val="00CA6FB8"/>
    <w:rsid w:val="00CB0165"/>
    <w:rsid w:val="00CC6BDF"/>
    <w:rsid w:val="00CD0D01"/>
    <w:rsid w:val="00CE1086"/>
    <w:rsid w:val="00CE70CF"/>
    <w:rsid w:val="00D00CB3"/>
    <w:rsid w:val="00D1187A"/>
    <w:rsid w:val="00D21EAE"/>
    <w:rsid w:val="00D253D6"/>
    <w:rsid w:val="00D277E2"/>
    <w:rsid w:val="00D32639"/>
    <w:rsid w:val="00D3440B"/>
    <w:rsid w:val="00D61E5E"/>
    <w:rsid w:val="00D71416"/>
    <w:rsid w:val="00D72679"/>
    <w:rsid w:val="00D76C72"/>
    <w:rsid w:val="00DB096C"/>
    <w:rsid w:val="00DB3B47"/>
    <w:rsid w:val="00DB4626"/>
    <w:rsid w:val="00DC44CB"/>
    <w:rsid w:val="00DC7999"/>
    <w:rsid w:val="00DD594C"/>
    <w:rsid w:val="00DD780B"/>
    <w:rsid w:val="00DE06D2"/>
    <w:rsid w:val="00E17D24"/>
    <w:rsid w:val="00E17E1A"/>
    <w:rsid w:val="00E20E56"/>
    <w:rsid w:val="00E27345"/>
    <w:rsid w:val="00E31516"/>
    <w:rsid w:val="00E37930"/>
    <w:rsid w:val="00E544B9"/>
    <w:rsid w:val="00E6003D"/>
    <w:rsid w:val="00E62326"/>
    <w:rsid w:val="00E76031"/>
    <w:rsid w:val="00E81852"/>
    <w:rsid w:val="00E829C8"/>
    <w:rsid w:val="00E968FC"/>
    <w:rsid w:val="00E969D3"/>
    <w:rsid w:val="00EA0ED6"/>
    <w:rsid w:val="00EC006F"/>
    <w:rsid w:val="00EC44C5"/>
    <w:rsid w:val="00EE1796"/>
    <w:rsid w:val="00EE452C"/>
    <w:rsid w:val="00EF643C"/>
    <w:rsid w:val="00F010E2"/>
    <w:rsid w:val="00F06D90"/>
    <w:rsid w:val="00F10C9F"/>
    <w:rsid w:val="00F14031"/>
    <w:rsid w:val="00F27206"/>
    <w:rsid w:val="00F50CE8"/>
    <w:rsid w:val="00F555F5"/>
    <w:rsid w:val="00F57FC9"/>
    <w:rsid w:val="00F6233E"/>
    <w:rsid w:val="00F71345"/>
    <w:rsid w:val="00F756F9"/>
    <w:rsid w:val="00F87C03"/>
    <w:rsid w:val="00F91CA5"/>
    <w:rsid w:val="00FA318D"/>
    <w:rsid w:val="00FB7618"/>
    <w:rsid w:val="00FC0CF9"/>
    <w:rsid w:val="00FC5073"/>
    <w:rsid w:val="00FD0593"/>
    <w:rsid w:val="00FD0D0E"/>
    <w:rsid w:val="00FE1615"/>
    <w:rsid w:val="00FE2C5A"/>
    <w:rsid w:val="00FF36FD"/>
    <w:rsid w:val="05A66D22"/>
    <w:rsid w:val="078D1F0A"/>
    <w:rsid w:val="09B940B7"/>
    <w:rsid w:val="0E9E6981"/>
    <w:rsid w:val="0F3E7507"/>
    <w:rsid w:val="15224D3F"/>
    <w:rsid w:val="17312D6D"/>
    <w:rsid w:val="1A845160"/>
    <w:rsid w:val="1AB109FE"/>
    <w:rsid w:val="1E6E1793"/>
    <w:rsid w:val="1EDA5A3D"/>
    <w:rsid w:val="1EE05561"/>
    <w:rsid w:val="1F28515D"/>
    <w:rsid w:val="1FBF4434"/>
    <w:rsid w:val="23354F63"/>
    <w:rsid w:val="261B13FA"/>
    <w:rsid w:val="2A88712B"/>
    <w:rsid w:val="2E347111"/>
    <w:rsid w:val="2E641A4D"/>
    <w:rsid w:val="34B63FFC"/>
    <w:rsid w:val="368E694B"/>
    <w:rsid w:val="39F933AD"/>
    <w:rsid w:val="3A5129E9"/>
    <w:rsid w:val="3C626DA2"/>
    <w:rsid w:val="3D925E77"/>
    <w:rsid w:val="43ED2B2D"/>
    <w:rsid w:val="454E3918"/>
    <w:rsid w:val="4AD130FC"/>
    <w:rsid w:val="4AFC4D9F"/>
    <w:rsid w:val="540778C4"/>
    <w:rsid w:val="5BAF3A4D"/>
    <w:rsid w:val="5FEE61C3"/>
    <w:rsid w:val="60EC2003"/>
    <w:rsid w:val="65535EB6"/>
    <w:rsid w:val="6BD36142"/>
    <w:rsid w:val="78813F48"/>
    <w:rsid w:val="7D703E8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nhideWhenUsed="0" w:uiPriority="0" w:semiHidden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4"/>
    <w:qFormat/>
    <w:locked/>
    <w:uiPriority w:val="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30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link w:val="21"/>
    <w:qFormat/>
    <w:locked/>
    <w:uiPriority w:val="0"/>
    <w:pPr>
      <w:widowControl/>
    </w:pPr>
    <w:rPr>
      <w:b/>
      <w:bCs/>
      <w:sz w:val="24"/>
      <w:szCs w:val="24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Title"/>
    <w:basedOn w:val="1"/>
    <w:link w:val="15"/>
    <w:qFormat/>
    <w:locked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page number"/>
    <w:qFormat/>
    <w:uiPriority w:val="99"/>
    <w:rPr>
      <w:rFonts w:cs="Times New Roman"/>
    </w:rPr>
  </w:style>
  <w:style w:type="character" w:styleId="13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14">
    <w:name w:val="标题 3 字符"/>
    <w:link w:val="2"/>
    <w:semiHidden/>
    <w:qFormat/>
    <w:locked/>
    <w:uiPriority w:val="0"/>
    <w:rPr>
      <w:rFonts w:ascii="Times New Roman" w:hAnsi="Times New Roman" w:cs="Times New Roman"/>
      <w:b/>
      <w:bCs/>
      <w:sz w:val="32"/>
      <w:szCs w:val="32"/>
    </w:rPr>
  </w:style>
  <w:style w:type="character" w:customStyle="1" w:styleId="15">
    <w:name w:val="标题 字符"/>
    <w:link w:val="8"/>
    <w:qFormat/>
    <w:locked/>
    <w:uiPriority w:val="0"/>
    <w:rPr>
      <w:rFonts w:ascii="Cambria" w:hAnsi="Cambria" w:cs="Times New Roman"/>
      <w:b/>
      <w:bCs/>
      <w:sz w:val="32"/>
      <w:szCs w:val="32"/>
    </w:rPr>
  </w:style>
  <w:style w:type="paragraph" w:styleId="16">
    <w:name w:val="List Paragraph"/>
    <w:basedOn w:val="1"/>
    <w:qFormat/>
    <w:uiPriority w:val="34"/>
    <w:pPr>
      <w:ind w:firstLine="420" w:firstLineChars="200"/>
    </w:pPr>
    <w:rPr>
      <w:rFonts w:ascii="Century" w:hAnsi="Century" w:eastAsia="MS Mincho" w:cs="Century"/>
      <w:szCs w:val="21"/>
      <w:lang w:eastAsia="ja-JP"/>
    </w:rPr>
  </w:style>
  <w:style w:type="paragraph" w:customStyle="1" w:styleId="17">
    <w:name w:val="主文档"/>
    <w:qFormat/>
    <w:uiPriority w:val="99"/>
    <w:pPr>
      <w:spacing w:line="480" w:lineRule="auto"/>
      <w:ind w:firstLine="600" w:firstLineChars="20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8">
    <w:name w:val="页眉 字符"/>
    <w:link w:val="5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9">
    <w:name w:val="页脚 字符"/>
    <w:link w:val="4"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20">
    <w:name w:val="short_text"/>
    <w:qFormat/>
    <w:uiPriority w:val="99"/>
  </w:style>
  <w:style w:type="character" w:customStyle="1" w:styleId="21">
    <w:name w:val="副标题 字符"/>
    <w:link w:val="6"/>
    <w:qFormat/>
    <w:uiPriority w:val="0"/>
    <w:rPr>
      <w:rFonts w:ascii="Times New Roman" w:hAnsi="Times New Roman"/>
      <w:b/>
      <w:bCs/>
      <w:kern w:val="2"/>
      <w:sz w:val="24"/>
      <w:szCs w:val="24"/>
    </w:rPr>
  </w:style>
  <w:style w:type="character" w:customStyle="1" w:styleId="22">
    <w:name w:val="bumpedfont15"/>
    <w:qFormat/>
    <w:uiPriority w:val="0"/>
  </w:style>
  <w:style w:type="paragraph" w:customStyle="1" w:styleId="23">
    <w:name w:val="s1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4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25">
    <w:name w:val="current-selection"/>
    <w:basedOn w:val="10"/>
    <w:qFormat/>
    <w:uiPriority w:val="0"/>
  </w:style>
  <w:style w:type="character" w:customStyle="1" w:styleId="26">
    <w:name w:val="ff9"/>
    <w:basedOn w:val="10"/>
    <w:qFormat/>
    <w:uiPriority w:val="0"/>
  </w:style>
  <w:style w:type="character" w:customStyle="1" w:styleId="27">
    <w:name w:val="label"/>
    <w:basedOn w:val="10"/>
    <w:qFormat/>
    <w:uiPriority w:val="0"/>
  </w:style>
  <w:style w:type="character" w:customStyle="1" w:styleId="28">
    <w:name w:val="data_bold"/>
    <w:basedOn w:val="10"/>
    <w:qFormat/>
    <w:uiPriority w:val="0"/>
  </w:style>
  <w:style w:type="character" w:customStyle="1" w:styleId="29">
    <w:name w:val="magazinename1"/>
    <w:qFormat/>
    <w:uiPriority w:val="0"/>
    <w:rPr>
      <w:b/>
      <w:bCs/>
      <w:sz w:val="20"/>
      <w:szCs w:val="20"/>
    </w:rPr>
  </w:style>
  <w:style w:type="character" w:customStyle="1" w:styleId="30">
    <w:name w:val="批注框文本 字符"/>
    <w:basedOn w:val="10"/>
    <w:link w:val="3"/>
    <w:semiHidden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E84965-FBA8-4883-945A-045DEE2263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6578</Words>
  <Characters>37497</Characters>
  <Lines>312</Lines>
  <Paragraphs>87</Paragraphs>
  <TotalTime>10</TotalTime>
  <ScaleCrop>false</ScaleCrop>
  <LinksUpToDate>false</LinksUpToDate>
  <CharactersWithSpaces>43988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2017-10-12T07:40:00Z</dcterms:created>
  <dc:creator>Administrator</dc:creator>
  <cp:lastModifiedBy>郭</cp:lastModifiedBy>
  <dcterms:modified xsi:type="dcterms:W3CDTF">2020-10-26T01:47:12Z</dcterms:modified>
  <dc:title>王颖，男，教授，博士生导师</dc:title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