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20" w:line="360" w:lineRule="exact"/>
        <w:ind w:firstLine="420" w:firstLineChars="200"/>
      </w:pPr>
      <w:r>
        <w:drawing>
          <wp:anchor distT="0" distB="0" distL="114300" distR="114300" simplePos="0" relativeHeight="251665408" behindDoc="0" locked="0" layoutInCell="1" allowOverlap="0">
            <wp:simplePos x="0" y="0"/>
            <wp:positionH relativeFrom="column">
              <wp:posOffset>81915</wp:posOffset>
            </wp:positionH>
            <wp:positionV relativeFrom="paragraph">
              <wp:posOffset>69850</wp:posOffset>
            </wp:positionV>
            <wp:extent cx="1000125" cy="1330960"/>
            <wp:effectExtent l="0" t="0" r="9525" b="2540"/>
            <wp:wrapSquare wrapText="bothSides"/>
            <wp:docPr id="20" name="图片 50" descr="P1012109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0" descr="P1012109B-2"/>
                    <pic:cNvPicPr>
                      <a:picLocks noChangeAspect="1"/>
                    </pic:cNvPicPr>
                  </pic:nvPicPr>
                  <pic:blipFill>
                    <a:blip r:embed="rId4"/>
                    <a:stretch>
                      <a:fillRect/>
                    </a:stretch>
                  </pic:blipFill>
                  <pic:spPr>
                    <a:xfrm>
                      <a:off x="0" y="0"/>
                      <a:ext cx="1000125" cy="1330960"/>
                    </a:xfrm>
                    <a:prstGeom prst="rect">
                      <a:avLst/>
                    </a:prstGeom>
                    <a:noFill/>
                    <a:ln>
                      <a:noFill/>
                    </a:ln>
                  </pic:spPr>
                </pic:pic>
              </a:graphicData>
            </a:graphic>
          </wp:anchor>
        </w:drawing>
      </w:r>
    </w:p>
    <w:p>
      <w:pPr>
        <w:snapToGrid w:val="0"/>
        <w:spacing w:before="120" w:line="360" w:lineRule="exact"/>
        <w:ind w:firstLine="420" w:firstLineChars="200"/>
      </w:pPr>
    </w:p>
    <w:p>
      <w:pPr>
        <w:snapToGrid w:val="0"/>
        <w:spacing w:before="120" w:line="360" w:lineRule="exact"/>
        <w:ind w:firstLine="420" w:firstLineChars="200"/>
      </w:pPr>
    </w:p>
    <w:p>
      <w:pPr>
        <w:snapToGrid w:val="0"/>
        <w:spacing w:before="120" w:line="360" w:lineRule="exact"/>
        <w:ind w:firstLine="420" w:firstLineChars="200"/>
      </w:pPr>
    </w:p>
    <w:p>
      <w:pPr>
        <w:snapToGrid w:val="0"/>
        <w:spacing w:before="120" w:line="360" w:lineRule="exact"/>
        <w:ind w:firstLine="420" w:firstLineChars="200"/>
        <w:rPr>
          <w:color w:val="FF0000"/>
        </w:rPr>
      </w:pPr>
    </w:p>
    <w:p>
      <w:pPr>
        <w:keepNext w:val="0"/>
        <w:keepLines w:val="0"/>
        <w:pageBreakBefore w:val="0"/>
        <w:widowControl w:val="0"/>
        <w:kinsoku/>
        <w:wordWrap/>
        <w:overflowPunct/>
        <w:topLinePunct w:val="0"/>
        <w:autoSpaceDE/>
        <w:autoSpaceDN/>
        <w:bidi w:val="0"/>
        <w:adjustRightInd/>
        <w:snapToGrid w:val="0"/>
        <w:spacing w:before="120" w:line="360" w:lineRule="auto"/>
        <w:ind w:firstLine="420" w:firstLineChars="200"/>
        <w:textAlignment w:val="auto"/>
      </w:pPr>
      <w:r>
        <w:rPr>
          <w:color w:val="FF0000"/>
        </w:rPr>
        <w:t>包建荣</w:t>
      </w:r>
      <w:r>
        <w:t>，男，博士，杭州电子科技大学通信工程学院教授</w:t>
      </w:r>
      <w:r>
        <w:rPr>
          <w:rFonts w:hint="eastAsia"/>
        </w:rPr>
        <w:t>，</w:t>
      </w:r>
      <w:r>
        <w:t>博导，浙江大学</w:t>
      </w:r>
      <w:r>
        <w:rPr>
          <w:rFonts w:hint="eastAsia"/>
        </w:rPr>
        <w:t>、</w:t>
      </w:r>
      <w:r>
        <w:t>东南大学两站博士后，美国哥伦比亚大学访问学者，IEEE高级会员、中国电子学会高级会员、中国通信学会高级会员、浙江省信号处理学会会员、浙江省中青年学科带头人。2009年毕业于清华大学电子工程系，获信息与通信工程博士学位，参与</w:t>
      </w:r>
      <w:r>
        <w:rPr>
          <w:b/>
        </w:rPr>
        <w:t>国家自然科学基金杰青、重点项目</w:t>
      </w:r>
      <w:r>
        <w:t>、</w:t>
      </w:r>
      <w:r>
        <w:rPr>
          <w:b/>
        </w:rPr>
        <w:t>国家基础研究发展计划973项目</w:t>
      </w:r>
      <w:r>
        <w:t>、</w:t>
      </w:r>
      <w:r>
        <w:rPr>
          <w:b/>
        </w:rPr>
        <w:t>及多项“卫星通信”和“探月工程”等国家重大项目</w:t>
      </w:r>
      <w:r>
        <w:t>，协助完成若干关键理论与技术难题。</w:t>
      </w:r>
      <w:r>
        <w:rPr>
          <w:kern w:val="0"/>
        </w:rPr>
        <w:t>之后，在杭电通信/信息学院从事教学科研工作</w:t>
      </w:r>
      <w:r>
        <w:t>，并先后于2013及2016年在</w:t>
      </w:r>
      <w:r>
        <w:rPr>
          <w:rFonts w:hint="eastAsia"/>
        </w:rPr>
        <w:t>浙江大学</w:t>
      </w:r>
      <w:r>
        <w:t>卫星导航与抗干扰实验室及</w:t>
      </w:r>
      <w:r>
        <w:rPr>
          <w:rFonts w:hint="eastAsia"/>
        </w:rPr>
        <w:t>东南大学</w:t>
      </w:r>
      <w:r>
        <w:t>移动通信国家重点实验室，完成2站博士后</w:t>
      </w:r>
      <w:r>
        <w:rPr>
          <w:b/>
        </w:rPr>
        <w:t>(出站考核皆优秀)</w:t>
      </w:r>
      <w:r>
        <w:rPr>
          <w:rFonts w:hint="eastAsia"/>
        </w:rPr>
        <w:t>。</w:t>
      </w:r>
    </w:p>
    <w:p>
      <w:pPr>
        <w:keepNext w:val="0"/>
        <w:keepLines w:val="0"/>
        <w:pageBreakBefore w:val="0"/>
        <w:widowControl w:val="0"/>
        <w:kinsoku/>
        <w:wordWrap/>
        <w:overflowPunct/>
        <w:topLinePunct w:val="0"/>
        <w:autoSpaceDE/>
        <w:autoSpaceDN/>
        <w:bidi w:val="0"/>
        <w:adjustRightInd/>
        <w:snapToGrid w:val="0"/>
        <w:spacing w:before="120" w:line="360" w:lineRule="auto"/>
        <w:ind w:firstLine="422" w:firstLineChars="200"/>
        <w:textAlignment w:val="auto"/>
        <w:rPr>
          <w:kern w:val="0"/>
        </w:rPr>
      </w:pPr>
      <w:r>
        <w:rPr>
          <w:b/>
          <w:kern w:val="0"/>
        </w:rPr>
        <w:t>研究领域</w:t>
      </w:r>
      <w:r>
        <w:rPr>
          <w:rFonts w:hint="eastAsia"/>
          <w:kern w:val="0"/>
        </w:rPr>
        <w:t>：</w:t>
      </w:r>
      <w:r>
        <w:rPr>
          <w:kern w:val="0"/>
        </w:rPr>
        <w:t>从事</w:t>
      </w:r>
      <w:r>
        <w:rPr>
          <w:rFonts w:hint="eastAsia"/>
          <w:kern w:val="0"/>
        </w:rPr>
        <w:t>空间无线通信</w:t>
      </w:r>
      <w:r>
        <w:rPr>
          <w:kern w:val="0"/>
        </w:rPr>
        <w:t>极低信噪比和高动态传输、协同信息论与编码、多中继跨层协作传输优化、分布式多天线联合迭代检测</w:t>
      </w:r>
      <w:r>
        <w:rPr>
          <w:rFonts w:hint="eastAsia"/>
          <w:kern w:val="0"/>
        </w:rPr>
        <w:t>、认知无线电与协作传输系统、深度学习与机器智能网络通信、通信信号处理与自主无线电</w:t>
      </w:r>
      <w:r>
        <w:rPr>
          <w:kern w:val="0"/>
        </w:rPr>
        <w:t>等工作。在浙大博士后科研</w:t>
      </w:r>
      <w:r>
        <w:rPr>
          <w:rFonts w:hint="eastAsia"/>
          <w:kern w:val="0"/>
        </w:rPr>
        <w:t>期间</w:t>
      </w:r>
      <w:r>
        <w:rPr>
          <w:kern w:val="0"/>
        </w:rPr>
        <w:t>，曾赴成都中国电子科技集团第10研究所，开展CCSDS标准通信信道编码的全并行FPGA硬件仿真与验证工作。另根据浙江省151人才培养计划公派出国，于2015.3-2015.9赴美国哥伦比亚大学电机工程系开展现代无线协作通信理论研究及软件无线电(USRP)远场有源射频识别(RFID)中继工程实践，顺利完成访学任务。</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rPr>
          <w:kern w:val="0"/>
        </w:rPr>
        <w:t>现主持在研NSFC-浙江省两化融合联合重点基金项目1项，结题国家自然科学基金青年、面上项目</w:t>
      </w:r>
      <w:r>
        <w:t>、浙江省自然科学基金重点项目、浙江省科技厅公益项目、东南大学移动通信国家重点实验室开放课题</w:t>
      </w:r>
      <w:r>
        <w:rPr>
          <w:rFonts w:hint="eastAsia"/>
        </w:rPr>
        <w:t>、</w:t>
      </w:r>
      <w:r>
        <w:t>第50及56批国家博士后面上基金等项目各1项、参与完成卫星通信</w:t>
      </w:r>
      <w:r>
        <w:rPr>
          <w:kern w:val="0"/>
        </w:rPr>
        <w:t>自主无线电及CCSDS标准空间信道编码工程(中电十所项目)</w:t>
      </w:r>
      <w:r>
        <w:t>预研和型号项目各1项，</w:t>
      </w:r>
      <w:r>
        <w:rPr>
          <w:kern w:val="0"/>
        </w:rPr>
        <w:t>具有较强科研能力，并取得了较好学术研究成果：</w:t>
      </w:r>
      <w:r>
        <w:t>在《</w:t>
      </w:r>
      <w:r>
        <w:rPr>
          <w:i/>
        </w:rPr>
        <w:t>IEEE Trans. on Vehicular Technology</w:t>
      </w:r>
      <w:r>
        <w:t>》、《</w:t>
      </w:r>
      <w:r>
        <w:rPr>
          <w:i/>
        </w:rPr>
        <w:t>IEEE Trans. on Aerospace and Electronic Systems</w:t>
      </w:r>
      <w:r>
        <w:t>》、《</w:t>
      </w:r>
      <w:r>
        <w:rPr>
          <w:i/>
        </w:rPr>
        <w:t>Wireless Communications and Mobile Computing</w:t>
      </w:r>
      <w:r>
        <w:t>》、《</w:t>
      </w:r>
      <w:r>
        <w:rPr>
          <w:i/>
        </w:rPr>
        <w:t>IET Communications</w:t>
      </w:r>
      <w:r>
        <w:t>》、《</w:t>
      </w:r>
      <w:r>
        <w:rPr>
          <w:i/>
        </w:rPr>
        <w:t>IEEE ACCESS</w:t>
      </w:r>
      <w:r>
        <w:t>》、《</w:t>
      </w:r>
      <w:r>
        <w:rPr>
          <w:rFonts w:hint="eastAsia"/>
          <w:i/>
        </w:rPr>
        <w:t>KSII</w:t>
      </w:r>
      <w:r>
        <w:rPr>
          <w:i/>
        </w:rPr>
        <w:t xml:space="preserve"> Trans. on </w:t>
      </w:r>
      <w:r>
        <w:rPr>
          <w:rFonts w:hint="eastAsia"/>
          <w:i/>
        </w:rPr>
        <w:t>Internet and Information Systems</w:t>
      </w:r>
      <w:r>
        <w:t>》、《电子与信息学报》、《</w:t>
      </w:r>
      <w:r>
        <w:rPr>
          <w:rFonts w:hint="eastAsia"/>
        </w:rPr>
        <w:t>通信</w:t>
      </w:r>
      <w:r>
        <w:t>学报》等国内外重要学术期刊和WCNC2013，VTC2012，ICC2008等知名国际学术会议发表论文90余篇，积极参与国际学术交流</w:t>
      </w:r>
      <w:r>
        <w:rPr>
          <w:rFonts w:hint="eastAsia"/>
        </w:rPr>
        <w:t>。</w:t>
      </w:r>
      <w:r>
        <w:t>其中，SCI收录1</w:t>
      </w:r>
      <w:r>
        <w:rPr>
          <w:rFonts w:hint="eastAsia"/>
        </w:rPr>
        <w:t>6</w:t>
      </w:r>
      <w:r>
        <w:t>篇、EI收录</w:t>
      </w:r>
      <w:r>
        <w:rPr>
          <w:rFonts w:hint="eastAsia"/>
        </w:rPr>
        <w:t>6</w:t>
      </w:r>
      <w:r>
        <w:t>0余篇、另授权了发明专利7项，申请及</w:t>
      </w:r>
      <w:r>
        <w:rPr>
          <w:rFonts w:hint="eastAsia"/>
        </w:rPr>
        <w:t>公开</w:t>
      </w:r>
      <w:r>
        <w:t>实审专利</w:t>
      </w:r>
      <w:r>
        <w:rPr>
          <w:rFonts w:hint="eastAsia"/>
        </w:rPr>
        <w:t>15</w:t>
      </w:r>
      <w:r>
        <w:t>项。因科研业绩较好，分别于2011、2013、2016年获“杭州市‘131’中青年人才培养第2层次”、“浙江省新世纪‘151人才工程’第3层次”及“浙江省中青年学科带头人”等人才项目，并于2016及</w:t>
      </w:r>
      <w:r>
        <w:rPr>
          <w:rFonts w:hint="eastAsia"/>
        </w:rPr>
        <w:t>2019</w:t>
      </w:r>
      <w:r>
        <w:t>年分别获得浙江省信息经济</w:t>
      </w:r>
      <w:r>
        <w:rPr>
          <w:rFonts w:hint="eastAsia"/>
        </w:rPr>
        <w:t>联合会</w:t>
      </w:r>
      <w:r>
        <w:t>科技进步奖</w:t>
      </w:r>
      <w:r>
        <w:rPr>
          <w:rFonts w:hint="eastAsia"/>
        </w:rPr>
        <w:t>、</w:t>
      </w:r>
      <w:r>
        <w:t>浙江省通信学会科技进步奖二等奖各1项。</w:t>
      </w:r>
      <w:r>
        <w:rPr>
          <w:kern w:val="0"/>
        </w:rPr>
        <w:t>在人才培养方面，已指导研究生10余名</w:t>
      </w:r>
      <w:r>
        <w:rPr>
          <w:rFonts w:hint="eastAsia"/>
          <w:kern w:val="0"/>
        </w:rPr>
        <w:t>。</w:t>
      </w:r>
      <w:r>
        <w:rPr>
          <w:kern w:val="0"/>
        </w:rPr>
        <w:t>其中，</w:t>
      </w:r>
      <w:r>
        <w:rPr>
          <w:rFonts w:hint="eastAsia"/>
          <w:kern w:val="0"/>
        </w:rPr>
        <w:t>3</w:t>
      </w:r>
      <w:r>
        <w:rPr>
          <w:kern w:val="0"/>
        </w:rPr>
        <w:t>名研究生获浙江省优秀毕业研究生称号。</w:t>
      </w:r>
    </w:p>
    <w:p>
      <w:pPr>
        <w:keepNext w:val="0"/>
        <w:keepLines w:val="0"/>
        <w:pageBreakBefore w:val="0"/>
        <w:widowControl w:val="0"/>
        <w:kinsoku/>
        <w:wordWrap/>
        <w:overflowPunct/>
        <w:topLinePunct w:val="0"/>
        <w:autoSpaceDE/>
        <w:autoSpaceDN/>
        <w:bidi w:val="0"/>
        <w:adjustRightInd/>
        <w:spacing w:line="360" w:lineRule="auto"/>
        <w:textAlignment w:val="auto"/>
        <w:rPr>
          <w:kern w:val="0"/>
        </w:rPr>
      </w:pPr>
      <w:r>
        <w:rPr>
          <w:rFonts w:hint="eastAsia"/>
          <w:b/>
          <w:kern w:val="0"/>
        </w:rPr>
        <w:t>博士培养研究方向</w:t>
      </w:r>
      <w:r>
        <w:rPr>
          <w:rFonts w:hint="eastAsia"/>
          <w:kern w:val="0"/>
        </w:rPr>
        <w:t>：空间无线通信；海洋通信系统；协同信息论与编码；认知无线电与协作传输系统；通信信号处理与自主无线电；深度学习与机器智能网络通信等</w:t>
      </w:r>
    </w:p>
    <w:p>
      <w:pPr>
        <w:keepNext w:val="0"/>
        <w:keepLines w:val="0"/>
        <w:pageBreakBefore w:val="0"/>
        <w:widowControl w:val="0"/>
        <w:kinsoku/>
        <w:wordWrap/>
        <w:overflowPunct/>
        <w:topLinePunct w:val="0"/>
        <w:autoSpaceDE/>
        <w:autoSpaceDN/>
        <w:bidi w:val="0"/>
        <w:adjustRightInd/>
        <w:spacing w:line="360" w:lineRule="auto"/>
        <w:textAlignment w:val="auto"/>
        <w:rPr>
          <w:kern w:val="0"/>
        </w:rPr>
      </w:pPr>
      <w:r>
        <w:rPr>
          <w:rFonts w:hint="eastAsia"/>
          <w:b/>
          <w:kern w:val="0"/>
        </w:rPr>
        <w:t>邮箱</w:t>
      </w:r>
      <w:r>
        <w:rPr>
          <w:rFonts w:hint="eastAsia"/>
          <w:kern w:val="0"/>
        </w:rPr>
        <w:t>：</w:t>
      </w:r>
      <w:r>
        <w:fldChar w:fldCharType="begin"/>
      </w:r>
      <w:r>
        <w:instrText xml:space="preserve"> HYPERLINK "mailto:baojr@hdu.edu.cn" </w:instrText>
      </w:r>
      <w:r>
        <w:fldChar w:fldCharType="separate"/>
      </w:r>
      <w:r>
        <w:rPr>
          <w:kern w:val="0"/>
        </w:rPr>
        <w:t>baojr@hdu.edu.cn</w:t>
      </w:r>
      <w:r>
        <w:rPr>
          <w:kern w:val="0"/>
        </w:rPr>
        <w:fldChar w:fldCharType="end"/>
      </w:r>
    </w:p>
    <w:p>
      <w:pPr>
        <w:keepNext w:val="0"/>
        <w:keepLines w:val="0"/>
        <w:pageBreakBefore w:val="0"/>
        <w:widowControl w:val="0"/>
        <w:kinsoku/>
        <w:wordWrap/>
        <w:overflowPunct/>
        <w:topLinePunct w:val="0"/>
        <w:autoSpaceDE/>
        <w:autoSpaceDN/>
        <w:bidi w:val="0"/>
        <w:adjustRightInd/>
        <w:spacing w:line="360" w:lineRule="auto"/>
        <w:textAlignment w:val="auto"/>
        <w:rPr>
          <w:color w:val="000000"/>
          <w:sz w:val="28"/>
          <w:szCs w:val="28"/>
          <w:shd w:val="clear" w:color="auto" w:fill="FFFFFF"/>
        </w:rPr>
      </w:pPr>
    </w:p>
    <w:p>
      <w:pPr>
        <w:keepNext w:val="0"/>
        <w:keepLines w:val="0"/>
        <w:pageBreakBefore w:val="0"/>
        <w:widowControl w:val="0"/>
        <w:kinsoku/>
        <w:wordWrap/>
        <w:overflowPunct/>
        <w:topLinePunct w:val="0"/>
        <w:autoSpaceDE/>
        <w:autoSpaceDN/>
        <w:bidi w:val="0"/>
        <w:adjustRightInd/>
        <w:spacing w:line="360" w:lineRule="auto"/>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22F3F"/>
    <w:rsid w:val="3B922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2020-10-26T02:12:00Z</dcterms:created>
  <dc:creator>郭</dc:creator>
  <cp:lastModifiedBy>郭</cp:lastModifiedBy>
  <dcterms:modified xsi:type="dcterms:W3CDTF">2020-10-26T02:13:03Z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