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BB390A">
      <w:pPr>
        <w:widowControl/>
        <w:spacing w:line="480" w:lineRule="exact"/>
        <w:jc w:val="center"/>
        <w:rPr>
          <w:rFonts w:ascii="宋体" w:hAnsi="宋体" w:eastAsia="宋体" w:cs="宋体"/>
          <w:b/>
          <w:bCs/>
          <w:sz w:val="32"/>
          <w:szCs w:val="32"/>
        </w:rPr>
      </w:pPr>
      <w:bookmarkStart w:id="0" w:name="_GoBack"/>
      <w:bookmarkEnd w:id="0"/>
      <w:r>
        <w:rPr>
          <w:rStyle w:val="8"/>
          <w:rFonts w:hint="eastAsia" w:ascii="宋体" w:hAnsi="宋体" w:eastAsia="宋体" w:cs="宋体"/>
          <w:sz w:val="32"/>
          <w:szCs w:val="32"/>
        </w:rPr>
        <w:t>杭州电子科技大学与日本山梨大学合作培养2025年计算机科学与技术硕士研究生招生指南</w:t>
      </w:r>
    </w:p>
    <w:p w14:paraId="73881450">
      <w:pPr>
        <w:spacing w:line="360" w:lineRule="auto"/>
        <w:ind w:left="-6" w:leftChars="-3" w:firstLine="413" w:firstLineChars="196"/>
        <w:rPr>
          <w:rFonts w:ascii="宋体" w:hAnsi="宋体" w:eastAsia="宋体" w:cs="宋体"/>
          <w:b/>
          <w:bCs/>
          <w:color w:val="000000"/>
        </w:rPr>
      </w:pPr>
    </w:p>
    <w:p w14:paraId="46803F8B">
      <w:pPr>
        <w:keepNext w:val="0"/>
        <w:keepLines w:val="0"/>
        <w:pageBreakBefore w:val="0"/>
        <w:widowControl w:val="0"/>
        <w:kinsoku/>
        <w:wordWrap/>
        <w:overflowPunct/>
        <w:topLinePunct w:val="0"/>
        <w:autoSpaceDE/>
        <w:autoSpaceDN/>
        <w:bidi w:val="0"/>
        <w:adjustRightInd/>
        <w:snapToGrid/>
        <w:spacing w:line="360" w:lineRule="auto"/>
        <w:ind w:left="-6" w:leftChars="-3" w:firstLine="413" w:firstLineChars="196"/>
        <w:textAlignment w:val="auto"/>
        <w:rPr>
          <w:rFonts w:ascii="宋体" w:hAnsi="宋体" w:eastAsia="宋体" w:cs="宋体"/>
          <w:color w:val="333333"/>
          <w:sz w:val="21"/>
          <w:szCs w:val="21"/>
        </w:rPr>
      </w:pPr>
      <w:r>
        <w:rPr>
          <w:rFonts w:hint="eastAsia" w:ascii="宋体" w:hAnsi="宋体" w:eastAsia="宋体" w:cs="宋体"/>
          <w:b/>
          <w:bCs/>
          <w:color w:val="000000"/>
          <w:sz w:val="21"/>
          <w:szCs w:val="21"/>
        </w:rPr>
        <w:t>一、学校与专业介绍</w:t>
      </w:r>
    </w:p>
    <w:p w14:paraId="4112825A">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eastAsia="宋体" w:cs="宋体"/>
          <w:color w:val="000000"/>
          <w:sz w:val="21"/>
          <w:szCs w:val="21"/>
        </w:rPr>
      </w:pPr>
      <w:r>
        <w:rPr>
          <w:rFonts w:hint="eastAsia" w:ascii="宋体" w:hAnsi="宋体" w:eastAsia="宋体" w:cs="宋体"/>
          <w:color w:val="000000"/>
          <w:sz w:val="21"/>
          <w:szCs w:val="21"/>
        </w:rPr>
        <w:t>杭州电子科技大学计算机科学与技术学科是浙江省“重中之重”学科，始建于1980年，1981年起招收硕士研究生。</w:t>
      </w:r>
      <w:r>
        <w:rPr>
          <w:rFonts w:hint="eastAsia" w:ascii="宋体" w:hAnsi="宋体" w:eastAsia="宋体" w:cs="宋体"/>
          <w:color w:val="000000" w:themeColor="text1"/>
          <w:sz w:val="21"/>
          <w:szCs w:val="21"/>
          <w:shd w:val="clear" w:color="auto" w:fill="FFFFFF"/>
          <w14:textFill>
            <w14:solidFill>
              <w14:schemeClr w14:val="tx1"/>
            </w14:solidFill>
          </w14:textFill>
        </w:rPr>
        <w:t>2017年12月，在全国第四轮学科评估中获B+（前10%-20%），</w:t>
      </w:r>
      <w:r>
        <w:rPr>
          <w:rFonts w:hint="eastAsia" w:ascii="宋体" w:hAnsi="宋体" w:eastAsia="宋体" w:cs="宋体"/>
          <w:color w:val="000000"/>
          <w:sz w:val="21"/>
          <w:szCs w:val="21"/>
        </w:rPr>
        <w:t>在浙江省属高校中排名第一。2017中国科学评价研究中心最新学科排名，计算机学科在全国281个同类学科中排名24位，进入全国计算机学科前10%。2021年1月，计算机科学学科进入ESI全球排名前4.15‰，在进入全球前1%的545个研究机构中排名第226位。</w:t>
      </w:r>
    </w:p>
    <w:p w14:paraId="7E1F7BC7">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日本山梨大学</w:t>
      </w:r>
      <w:r>
        <w:rPr>
          <w:rFonts w:hint="eastAsia" w:ascii="宋体" w:hAnsi="宋体" w:eastAsia="宋体" w:cs="宋体"/>
          <w:color w:val="000000" w:themeColor="text1"/>
          <w:sz w:val="21"/>
          <w:szCs w:val="21"/>
          <w:shd w:val="clear" w:color="auto" w:fill="FFFFFF"/>
          <w14:textFill>
            <w14:solidFill>
              <w14:schemeClr w14:val="tx1"/>
            </w14:solidFill>
          </w14:textFill>
        </w:rPr>
        <w:t>于1949年设立，坐落于日本山梨县</w:t>
      </w:r>
      <w:r>
        <w:rPr>
          <w:rFonts w:hint="eastAsia" w:ascii="宋体" w:hAnsi="宋体" w:eastAsia="宋体" w:cs="宋体"/>
          <w:color w:val="000000" w:themeColor="text1"/>
          <w:sz w:val="21"/>
          <w:szCs w:val="21"/>
          <w14:textFill>
            <w14:solidFill>
              <w14:schemeClr w14:val="tx1"/>
            </w14:solidFill>
          </w14:textFill>
        </w:rPr>
        <w:t>。山梨大学</w:t>
      </w:r>
      <w:r>
        <w:rPr>
          <w:rFonts w:hint="eastAsia" w:ascii="宋体" w:hAnsi="宋体" w:eastAsia="宋体" w:cs="宋体"/>
          <w:color w:val="000000" w:themeColor="text1"/>
          <w:sz w:val="21"/>
          <w:szCs w:val="21"/>
          <w:shd w:val="clear" w:color="auto" w:fill="FFFFFF"/>
          <w14:textFill>
            <w14:solidFill>
              <w14:schemeClr w14:val="tx1"/>
            </w14:solidFill>
          </w14:textFill>
        </w:rPr>
        <w:t>下设工学、生命环境、医学、教育4个学部，开办17个专业</w:t>
      </w:r>
      <w:r>
        <w:rPr>
          <w:rFonts w:hint="eastAsia" w:ascii="宋体" w:hAnsi="宋体" w:eastAsia="宋体" w:cs="宋体"/>
          <w:color w:val="000000" w:themeColor="text1"/>
          <w:sz w:val="21"/>
          <w:szCs w:val="21"/>
          <w14:textFill>
            <w14:solidFill>
              <w14:schemeClr w14:val="tx1"/>
            </w14:solidFill>
          </w14:textFill>
        </w:rPr>
        <w:t>。山梨大学工学部有90多年历史，培养了大批牵引日本IT产业发展的骨干。包括岛津制作所、富士Xerox等著名企业最高经营者。2015年诺贝尔医学生理学奖获得者大村智教授毕业于山梨大学教育学部，并在工学部开始了他的有关微生物的研究生涯。计算机系成立于1970年，是日本国立大学中最早设置的4个计算机系之一。1974年和1992年分别设置硕士及博士课程。山梨大学设有良好的国际交流制度与奖学金制度。</w:t>
      </w:r>
    </w:p>
    <w:p w14:paraId="18DC6D44">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sz w:val="21"/>
          <w:szCs w:val="21"/>
        </w:rPr>
        <w:t>杭州电子科技大学与日本山梨大学合作培养计算机科学与技术专业硕士研究生教育项目是教育部于2017年1月批准，在全日制招生范围内实施的中日合作办学项目。</w:t>
      </w:r>
      <w:r>
        <w:rPr>
          <w:rFonts w:hint="eastAsia" w:ascii="宋体" w:hAnsi="宋体" w:eastAsia="宋体" w:cs="宋体"/>
          <w:color w:val="333333"/>
          <w:sz w:val="21"/>
          <w:szCs w:val="21"/>
        </w:rPr>
        <w:t>本项目立足于跨学科的教育理念，</w:t>
      </w:r>
      <w:r>
        <w:rPr>
          <w:rFonts w:hint="eastAsia" w:ascii="宋体" w:hAnsi="宋体" w:eastAsia="宋体" w:cs="宋体"/>
          <w:color w:val="000000" w:themeColor="text1"/>
          <w:sz w:val="21"/>
          <w:szCs w:val="21"/>
          <w14:textFill>
            <w14:solidFill>
              <w14:schemeClr w14:val="tx1"/>
            </w14:solidFill>
          </w14:textFill>
        </w:rPr>
        <w:t>本着“学科强强联合，专业优势互补”的教学方法，开阔学生的国际化视野，充分发挥学生的主动性，培养跨学科复合型高层次人才。项目学制为2.5年，采用1+1+0.5的培养模式，每年计划招生20人，每名学生均由双导师指导。</w:t>
      </w:r>
    </w:p>
    <w:p w14:paraId="550B893D">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宋体" w:hAnsi="宋体" w:eastAsia="宋体" w:cs="宋体"/>
          <w:color w:val="000000" w:themeColor="text1"/>
          <w:sz w:val="21"/>
          <w:szCs w:val="21"/>
          <w14:textFill>
            <w14:solidFill>
              <w14:schemeClr w14:val="tx1"/>
            </w14:solidFill>
          </w14:textFill>
        </w:rPr>
      </w:pPr>
    </w:p>
    <w:p w14:paraId="5B5899CD">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eastAsia="宋体" w:cs="宋体"/>
          <w:color w:val="333333"/>
          <w:sz w:val="21"/>
          <w:szCs w:val="21"/>
        </w:rPr>
      </w:pPr>
      <w:r>
        <w:rPr>
          <w:rFonts w:hint="eastAsia" w:ascii="宋体" w:hAnsi="宋体" w:eastAsia="宋体" w:cs="宋体"/>
          <w:b/>
          <w:bCs/>
          <w:color w:val="333333"/>
          <w:sz w:val="21"/>
          <w:szCs w:val="21"/>
        </w:rPr>
        <w:t>二、培养目标</w:t>
      </w:r>
    </w:p>
    <w:p w14:paraId="71112DFA">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培养具有良好的科学素质，对计算机领域当前及未来的发展趋势具备洞察力，掌握计算机技术和系统等方面扎实、全面的专业知识及应用能力，熟悉和从事国内外计算机领域的设计、开发、应用研究、运行管理等方面工作、有较高英语水平的国际化应用型高级专门人才。</w:t>
      </w:r>
    </w:p>
    <w:p w14:paraId="47B8564B">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宋体" w:hAnsi="宋体" w:eastAsia="宋体" w:cs="宋体"/>
          <w:color w:val="000000"/>
          <w:sz w:val="21"/>
          <w:szCs w:val="21"/>
        </w:rPr>
      </w:pPr>
    </w:p>
    <w:p w14:paraId="4BAA1BE6">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宋体" w:hAnsi="宋体" w:eastAsia="宋体" w:cs="宋体"/>
          <w:color w:val="000000"/>
          <w:sz w:val="21"/>
          <w:szCs w:val="21"/>
        </w:rPr>
      </w:pPr>
    </w:p>
    <w:p w14:paraId="3F22E186">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宋体" w:hAnsi="宋体" w:eastAsia="宋体" w:cs="宋体"/>
          <w:color w:val="000000"/>
          <w:sz w:val="21"/>
          <w:szCs w:val="21"/>
        </w:rPr>
      </w:pPr>
    </w:p>
    <w:p w14:paraId="15EECA38">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宋体" w:hAnsi="宋体" w:eastAsia="宋体" w:cs="宋体"/>
          <w:color w:val="000000"/>
          <w:sz w:val="21"/>
          <w:szCs w:val="21"/>
        </w:rPr>
      </w:pPr>
    </w:p>
    <w:p w14:paraId="3AD4FDE8">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宋体" w:hAnsi="宋体" w:eastAsia="宋体" w:cs="宋体"/>
          <w:color w:val="000000"/>
          <w:sz w:val="21"/>
          <w:szCs w:val="21"/>
        </w:rPr>
      </w:pPr>
    </w:p>
    <w:p w14:paraId="3B1DCE3A">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eastAsia="宋体" w:cs="宋体"/>
          <w:b/>
          <w:bCs/>
          <w:color w:val="333333"/>
          <w:sz w:val="21"/>
          <w:szCs w:val="21"/>
        </w:rPr>
      </w:pPr>
      <w:r>
        <w:rPr>
          <w:rFonts w:hint="eastAsia" w:ascii="宋体" w:hAnsi="宋体" w:eastAsia="宋体" w:cs="宋体"/>
          <w:b/>
          <w:bCs/>
          <w:color w:val="333333"/>
          <w:sz w:val="21"/>
          <w:szCs w:val="21"/>
        </w:rPr>
        <w:t>三、招生专业目录</w:t>
      </w:r>
    </w:p>
    <w:tbl>
      <w:tblPr>
        <w:tblStyle w:val="6"/>
        <w:tblW w:w="10229" w:type="dxa"/>
        <w:tblInd w:w="-9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76"/>
        <w:gridCol w:w="1384"/>
        <w:gridCol w:w="2369"/>
        <w:gridCol w:w="923"/>
        <w:gridCol w:w="1701"/>
        <w:gridCol w:w="1244"/>
        <w:gridCol w:w="1332"/>
      </w:tblGrid>
      <w:tr w14:paraId="0AD22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8" w:hRule="atLeast"/>
        </w:trPr>
        <w:tc>
          <w:tcPr>
            <w:tcW w:w="1276" w:type="dxa"/>
            <w:shd w:val="clear" w:color="auto" w:fill="auto"/>
            <w:tcMar>
              <w:top w:w="0" w:type="dxa"/>
              <w:left w:w="108" w:type="dxa"/>
              <w:bottom w:w="0" w:type="dxa"/>
              <w:right w:w="108" w:type="dxa"/>
            </w:tcMar>
            <w:vAlign w:val="center"/>
          </w:tcPr>
          <w:p w14:paraId="017D4B09">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s="宋体"/>
                <w:color w:val="333333"/>
                <w:sz w:val="21"/>
                <w:szCs w:val="21"/>
              </w:rPr>
            </w:pPr>
            <w:r>
              <w:rPr>
                <w:rFonts w:hint="eastAsia" w:ascii="宋体" w:hAnsi="宋体" w:eastAsia="宋体" w:cs="宋体"/>
                <w:b/>
                <w:bCs/>
                <w:color w:val="333333"/>
                <w:sz w:val="21"/>
                <w:szCs w:val="21"/>
              </w:rPr>
              <w:t>院系所</w:t>
            </w:r>
          </w:p>
        </w:tc>
        <w:tc>
          <w:tcPr>
            <w:tcW w:w="1384" w:type="dxa"/>
            <w:vAlign w:val="center"/>
          </w:tcPr>
          <w:p w14:paraId="3EB4421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eastAsia="宋体" w:cs="宋体"/>
                <w:b/>
                <w:bCs/>
                <w:color w:val="333333"/>
                <w:sz w:val="21"/>
                <w:szCs w:val="21"/>
              </w:rPr>
            </w:pPr>
            <w:r>
              <w:rPr>
                <w:rFonts w:hint="eastAsia" w:ascii="宋体" w:hAnsi="宋体" w:eastAsia="宋体" w:cs="宋体"/>
                <w:b/>
                <w:bCs/>
                <w:color w:val="333333"/>
                <w:sz w:val="21"/>
                <w:szCs w:val="21"/>
              </w:rPr>
              <w:t>招生专业代码和名称</w:t>
            </w:r>
          </w:p>
        </w:tc>
        <w:tc>
          <w:tcPr>
            <w:tcW w:w="2369" w:type="dxa"/>
            <w:vAlign w:val="center"/>
          </w:tcPr>
          <w:p w14:paraId="2457E0B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eastAsia="宋体" w:cs="宋体"/>
                <w:b/>
                <w:bCs/>
                <w:color w:val="333333"/>
                <w:sz w:val="21"/>
                <w:szCs w:val="21"/>
              </w:rPr>
            </w:pPr>
            <w:r>
              <w:rPr>
                <w:rFonts w:hint="eastAsia" w:ascii="宋体" w:hAnsi="宋体" w:eastAsia="宋体" w:cs="宋体"/>
                <w:b/>
                <w:bCs/>
                <w:color w:val="333333"/>
                <w:sz w:val="21"/>
                <w:szCs w:val="21"/>
              </w:rPr>
              <w:t>研究方向</w:t>
            </w:r>
          </w:p>
        </w:tc>
        <w:tc>
          <w:tcPr>
            <w:tcW w:w="923" w:type="dxa"/>
            <w:shd w:val="clear" w:color="auto" w:fill="auto"/>
            <w:tcMar>
              <w:top w:w="0" w:type="dxa"/>
              <w:left w:w="108" w:type="dxa"/>
              <w:bottom w:w="0" w:type="dxa"/>
              <w:right w:w="108" w:type="dxa"/>
            </w:tcMar>
            <w:vAlign w:val="center"/>
          </w:tcPr>
          <w:p w14:paraId="5A55B86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eastAsia="宋体" w:cs="宋体"/>
                <w:color w:val="333333"/>
                <w:sz w:val="21"/>
                <w:szCs w:val="21"/>
              </w:rPr>
            </w:pPr>
            <w:r>
              <w:rPr>
                <w:rFonts w:hint="eastAsia" w:ascii="宋体" w:hAnsi="宋体" w:eastAsia="宋体" w:cs="宋体"/>
                <w:b/>
                <w:bCs/>
                <w:color w:val="333333"/>
                <w:sz w:val="21"/>
                <w:szCs w:val="21"/>
              </w:rPr>
              <w:t>拟招生</w:t>
            </w:r>
          </w:p>
          <w:p w14:paraId="2590506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eastAsia="宋体" w:cs="宋体"/>
                <w:color w:val="333333"/>
                <w:sz w:val="21"/>
                <w:szCs w:val="21"/>
              </w:rPr>
            </w:pPr>
            <w:r>
              <w:rPr>
                <w:rFonts w:hint="eastAsia" w:ascii="宋体" w:hAnsi="宋体" w:eastAsia="宋体" w:cs="宋体"/>
                <w:b/>
                <w:bCs/>
                <w:color w:val="333333"/>
                <w:sz w:val="21"/>
                <w:szCs w:val="21"/>
              </w:rPr>
              <w:t>人数</w:t>
            </w:r>
          </w:p>
        </w:tc>
        <w:tc>
          <w:tcPr>
            <w:tcW w:w="1701" w:type="dxa"/>
            <w:shd w:val="clear" w:color="auto" w:fill="auto"/>
            <w:tcMar>
              <w:top w:w="0" w:type="dxa"/>
              <w:left w:w="108" w:type="dxa"/>
              <w:bottom w:w="0" w:type="dxa"/>
              <w:right w:w="108" w:type="dxa"/>
            </w:tcMar>
            <w:vAlign w:val="center"/>
          </w:tcPr>
          <w:p w14:paraId="2C68C14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eastAsia="宋体" w:cs="宋体"/>
                <w:color w:val="333333"/>
                <w:sz w:val="21"/>
                <w:szCs w:val="21"/>
              </w:rPr>
            </w:pPr>
            <w:r>
              <w:rPr>
                <w:rFonts w:hint="eastAsia" w:ascii="宋体" w:hAnsi="宋体" w:eastAsia="宋体" w:cs="宋体"/>
                <w:b/>
                <w:bCs/>
                <w:color w:val="000000"/>
                <w:sz w:val="21"/>
                <w:szCs w:val="21"/>
              </w:rPr>
              <w:t>初试考试科目</w:t>
            </w:r>
          </w:p>
        </w:tc>
        <w:tc>
          <w:tcPr>
            <w:tcW w:w="1244" w:type="dxa"/>
            <w:shd w:val="clear" w:color="auto" w:fill="auto"/>
            <w:tcMar>
              <w:top w:w="0" w:type="dxa"/>
              <w:left w:w="108" w:type="dxa"/>
              <w:bottom w:w="0" w:type="dxa"/>
              <w:right w:w="108" w:type="dxa"/>
            </w:tcMar>
            <w:vAlign w:val="center"/>
          </w:tcPr>
          <w:p w14:paraId="49CC90E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eastAsia="宋体" w:cs="宋体"/>
                <w:color w:val="333333"/>
                <w:sz w:val="21"/>
                <w:szCs w:val="21"/>
              </w:rPr>
            </w:pPr>
            <w:r>
              <w:rPr>
                <w:rFonts w:hint="eastAsia" w:ascii="宋体" w:hAnsi="宋体" w:eastAsia="宋体" w:cs="宋体"/>
                <w:b/>
                <w:color w:val="000000"/>
                <w:sz w:val="21"/>
                <w:szCs w:val="21"/>
              </w:rPr>
              <w:t>复试专业考试科目及范围</w:t>
            </w:r>
          </w:p>
        </w:tc>
        <w:tc>
          <w:tcPr>
            <w:tcW w:w="1332" w:type="dxa"/>
            <w:shd w:val="clear" w:color="auto" w:fill="auto"/>
            <w:tcMar>
              <w:top w:w="0" w:type="dxa"/>
              <w:left w:w="108" w:type="dxa"/>
              <w:bottom w:w="0" w:type="dxa"/>
              <w:right w:w="108" w:type="dxa"/>
            </w:tcMar>
            <w:vAlign w:val="center"/>
          </w:tcPr>
          <w:p w14:paraId="47E0816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eastAsia="宋体" w:cs="宋体"/>
                <w:b/>
                <w:bCs/>
                <w:color w:val="333333"/>
                <w:sz w:val="21"/>
                <w:szCs w:val="21"/>
              </w:rPr>
            </w:pPr>
            <w:r>
              <w:rPr>
                <w:rFonts w:hint="eastAsia" w:ascii="宋体" w:hAnsi="宋体" w:eastAsia="宋体" w:cs="宋体"/>
                <w:b/>
                <w:bCs/>
                <w:color w:val="333333"/>
                <w:sz w:val="21"/>
                <w:szCs w:val="21"/>
              </w:rPr>
              <w:t>同等学力2门加试科目名称及范围</w:t>
            </w:r>
          </w:p>
        </w:tc>
      </w:tr>
      <w:tr w14:paraId="16485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85" w:hRule="atLeast"/>
        </w:trPr>
        <w:tc>
          <w:tcPr>
            <w:tcW w:w="1276" w:type="dxa"/>
            <w:shd w:val="clear" w:color="auto" w:fill="auto"/>
            <w:tcMar>
              <w:top w:w="0" w:type="dxa"/>
              <w:left w:w="108" w:type="dxa"/>
              <w:bottom w:w="0" w:type="dxa"/>
              <w:right w:w="108" w:type="dxa"/>
            </w:tcMar>
            <w:vAlign w:val="center"/>
          </w:tcPr>
          <w:p w14:paraId="3C559B42">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s="宋体"/>
                <w:color w:val="333333"/>
                <w:sz w:val="21"/>
                <w:szCs w:val="21"/>
              </w:rPr>
            </w:pPr>
            <w:r>
              <w:rPr>
                <w:rFonts w:hint="eastAsia" w:ascii="宋体" w:hAnsi="宋体" w:eastAsia="宋体" w:cs="宋体"/>
                <w:color w:val="000000"/>
                <w:sz w:val="21"/>
                <w:szCs w:val="21"/>
              </w:rPr>
              <w:t>051计算机中外合作教育中心</w:t>
            </w:r>
          </w:p>
        </w:tc>
        <w:tc>
          <w:tcPr>
            <w:tcW w:w="1384" w:type="dxa"/>
            <w:vAlign w:val="center"/>
          </w:tcPr>
          <w:p w14:paraId="3B3208D8">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s="宋体"/>
                <w:color w:val="333333"/>
                <w:sz w:val="21"/>
                <w:szCs w:val="21"/>
              </w:rPr>
            </w:pPr>
            <w:r>
              <w:rPr>
                <w:rFonts w:hint="eastAsia" w:ascii="宋体" w:hAnsi="宋体" w:eastAsia="宋体" w:cs="宋体"/>
                <w:color w:val="000000"/>
                <w:sz w:val="21"/>
                <w:szCs w:val="21"/>
              </w:rPr>
              <w:t>081200计算机科学与技术（学术学位）</w:t>
            </w:r>
          </w:p>
          <w:p w14:paraId="098A2675">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s="宋体"/>
                <w:color w:val="333333"/>
                <w:sz w:val="21"/>
                <w:szCs w:val="21"/>
              </w:rPr>
            </w:pPr>
          </w:p>
        </w:tc>
        <w:tc>
          <w:tcPr>
            <w:tcW w:w="2369" w:type="dxa"/>
            <w:vAlign w:val="center"/>
          </w:tcPr>
          <w:p w14:paraId="13F1FDC5">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s="宋体"/>
                <w:color w:val="333333"/>
                <w:sz w:val="21"/>
                <w:szCs w:val="21"/>
              </w:rPr>
            </w:pPr>
            <w:r>
              <w:rPr>
                <w:rFonts w:hint="eastAsia" w:ascii="宋体" w:hAnsi="宋体" w:eastAsia="宋体" w:cs="宋体"/>
                <w:color w:val="000000"/>
                <w:sz w:val="21"/>
                <w:szCs w:val="21"/>
              </w:rPr>
              <w:t>01(中日合作)计算机系统结构</w:t>
            </w:r>
          </w:p>
          <w:p w14:paraId="45A128EF">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s="宋体"/>
                <w:color w:val="333333"/>
                <w:sz w:val="21"/>
                <w:szCs w:val="21"/>
              </w:rPr>
            </w:pPr>
            <w:r>
              <w:rPr>
                <w:rFonts w:hint="eastAsia" w:ascii="宋体" w:hAnsi="宋体" w:eastAsia="宋体" w:cs="宋体"/>
                <w:color w:val="000000"/>
                <w:sz w:val="21"/>
                <w:szCs w:val="21"/>
              </w:rPr>
              <w:t>02(中日合作)计算机软件与理论</w:t>
            </w:r>
          </w:p>
          <w:p w14:paraId="52AC45C5">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s="宋体"/>
                <w:color w:val="333333"/>
                <w:sz w:val="21"/>
                <w:szCs w:val="21"/>
              </w:rPr>
            </w:pPr>
            <w:r>
              <w:rPr>
                <w:rFonts w:hint="eastAsia" w:ascii="宋体" w:hAnsi="宋体" w:eastAsia="宋体" w:cs="宋体"/>
                <w:color w:val="000000"/>
                <w:sz w:val="21"/>
                <w:szCs w:val="21"/>
              </w:rPr>
              <w:t>03(中日合作)计算机应用技术</w:t>
            </w:r>
          </w:p>
          <w:p w14:paraId="35FD7474">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s="宋体"/>
                <w:color w:val="333333"/>
                <w:sz w:val="21"/>
                <w:szCs w:val="21"/>
              </w:rPr>
            </w:pPr>
            <w:r>
              <w:rPr>
                <w:rFonts w:hint="eastAsia" w:ascii="宋体" w:hAnsi="宋体" w:eastAsia="宋体" w:cs="宋体"/>
                <w:color w:val="000000"/>
                <w:sz w:val="21"/>
                <w:szCs w:val="21"/>
              </w:rPr>
              <w:t>04(中日合作)物联网技术</w:t>
            </w:r>
          </w:p>
        </w:tc>
        <w:tc>
          <w:tcPr>
            <w:tcW w:w="923" w:type="dxa"/>
            <w:shd w:val="clear" w:color="auto" w:fill="auto"/>
            <w:tcMar>
              <w:top w:w="0" w:type="dxa"/>
              <w:left w:w="108" w:type="dxa"/>
              <w:bottom w:w="0" w:type="dxa"/>
              <w:right w:w="108" w:type="dxa"/>
            </w:tcMar>
            <w:vAlign w:val="center"/>
          </w:tcPr>
          <w:p w14:paraId="57695078">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s="宋体"/>
                <w:color w:val="333333"/>
                <w:sz w:val="21"/>
                <w:szCs w:val="21"/>
              </w:rPr>
            </w:pPr>
            <w:r>
              <w:rPr>
                <w:rFonts w:hint="eastAsia" w:ascii="宋体" w:hAnsi="宋体" w:eastAsia="宋体" w:cs="宋体"/>
                <w:color w:val="333333"/>
                <w:sz w:val="21"/>
                <w:szCs w:val="21"/>
              </w:rPr>
              <w:t>20</w:t>
            </w:r>
            <w:r>
              <w:rPr>
                <w:rStyle w:val="8"/>
                <w:rFonts w:hint="eastAsia" w:ascii="宋体" w:hAnsi="宋体" w:eastAsia="宋体" w:cs="宋体"/>
                <w:color w:val="333333"/>
                <w:sz w:val="21"/>
                <w:szCs w:val="21"/>
              </w:rPr>
              <w:t>（以实际招生人数为准）</w:t>
            </w:r>
          </w:p>
        </w:tc>
        <w:tc>
          <w:tcPr>
            <w:tcW w:w="1701" w:type="dxa"/>
            <w:shd w:val="clear" w:color="auto" w:fill="auto"/>
            <w:tcMar>
              <w:top w:w="0" w:type="dxa"/>
              <w:left w:w="108" w:type="dxa"/>
              <w:bottom w:w="0" w:type="dxa"/>
              <w:right w:w="108" w:type="dxa"/>
            </w:tcMar>
            <w:vAlign w:val="center"/>
          </w:tcPr>
          <w:p w14:paraId="7E40EC9F">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s="宋体"/>
                <w:color w:val="333333"/>
                <w:sz w:val="21"/>
                <w:szCs w:val="21"/>
              </w:rPr>
            </w:pPr>
            <w:r>
              <w:rPr>
                <w:rFonts w:hint="eastAsia" w:ascii="宋体" w:hAnsi="宋体" w:eastAsia="宋体" w:cs="宋体"/>
                <w:color w:val="000000"/>
                <w:sz w:val="21"/>
                <w:szCs w:val="21"/>
              </w:rPr>
              <w:t>①101思想政治理论</w:t>
            </w:r>
          </w:p>
          <w:p w14:paraId="1BC29895">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s="宋体"/>
                <w:color w:val="333333"/>
                <w:sz w:val="21"/>
                <w:szCs w:val="21"/>
              </w:rPr>
            </w:pPr>
            <w:r>
              <w:rPr>
                <w:rFonts w:hint="eastAsia" w:ascii="宋体" w:hAnsi="宋体" w:eastAsia="宋体" w:cs="宋体"/>
                <w:color w:val="000000"/>
                <w:sz w:val="21"/>
                <w:szCs w:val="21"/>
              </w:rPr>
              <w:t>②201英语一</w:t>
            </w:r>
          </w:p>
          <w:p w14:paraId="136459AF">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s="宋体"/>
                <w:color w:val="333333"/>
                <w:sz w:val="21"/>
                <w:szCs w:val="21"/>
              </w:rPr>
            </w:pPr>
            <w:r>
              <w:rPr>
                <w:rFonts w:hint="eastAsia" w:ascii="宋体" w:hAnsi="宋体" w:eastAsia="宋体" w:cs="宋体"/>
                <w:color w:val="000000"/>
                <w:sz w:val="21"/>
                <w:szCs w:val="21"/>
              </w:rPr>
              <w:t>③301数学一</w:t>
            </w:r>
          </w:p>
          <w:p w14:paraId="0BD141FB">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s="宋体"/>
                <w:color w:val="333333"/>
                <w:sz w:val="21"/>
                <w:szCs w:val="21"/>
              </w:rPr>
            </w:pPr>
            <w:r>
              <w:rPr>
                <w:rFonts w:hint="eastAsia" w:ascii="宋体" w:hAnsi="宋体" w:eastAsia="宋体" w:cs="宋体"/>
                <w:color w:val="000000"/>
                <w:sz w:val="21"/>
                <w:szCs w:val="21"/>
              </w:rPr>
              <w:t>④408 计算机学科专业基础</w:t>
            </w:r>
          </w:p>
        </w:tc>
        <w:tc>
          <w:tcPr>
            <w:tcW w:w="1244" w:type="dxa"/>
            <w:shd w:val="clear" w:color="auto" w:fill="auto"/>
            <w:tcMar>
              <w:top w:w="0" w:type="dxa"/>
              <w:left w:w="108" w:type="dxa"/>
              <w:bottom w:w="0" w:type="dxa"/>
              <w:right w:w="108" w:type="dxa"/>
            </w:tcMar>
            <w:vAlign w:val="center"/>
          </w:tcPr>
          <w:p w14:paraId="75DCDE85">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s="宋体"/>
                <w:color w:val="333333"/>
                <w:sz w:val="21"/>
                <w:szCs w:val="21"/>
              </w:rPr>
            </w:pPr>
            <w:r>
              <w:rPr>
                <w:rFonts w:hint="eastAsia" w:ascii="宋体" w:hAnsi="宋体" w:eastAsia="宋体" w:cs="宋体"/>
                <w:color w:val="000000"/>
                <w:sz w:val="21"/>
                <w:szCs w:val="21"/>
              </w:rPr>
              <w:t>计算机程序设计综合能力测试（语言不限）</w:t>
            </w:r>
          </w:p>
        </w:tc>
        <w:tc>
          <w:tcPr>
            <w:tcW w:w="1332" w:type="dxa"/>
            <w:shd w:val="clear" w:color="auto" w:fill="auto"/>
            <w:tcMar>
              <w:top w:w="0" w:type="dxa"/>
              <w:left w:w="108" w:type="dxa"/>
              <w:bottom w:w="0" w:type="dxa"/>
              <w:right w:w="108" w:type="dxa"/>
            </w:tcMar>
            <w:vAlign w:val="center"/>
          </w:tcPr>
          <w:p w14:paraId="35519831">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s="宋体"/>
                <w:color w:val="333333"/>
                <w:sz w:val="21"/>
                <w:szCs w:val="21"/>
              </w:rPr>
            </w:pPr>
            <w:r>
              <w:rPr>
                <w:rFonts w:hint="eastAsia" w:ascii="宋体" w:hAnsi="宋体" w:eastAsia="宋体" w:cs="宋体"/>
                <w:color w:val="000000"/>
                <w:sz w:val="21"/>
                <w:szCs w:val="21"/>
              </w:rPr>
              <w:t>同等学力考生须加试高级语言程序设计（C语言）、数据库系统概论</w:t>
            </w:r>
          </w:p>
        </w:tc>
      </w:tr>
    </w:tbl>
    <w:p w14:paraId="2B1796CB">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宋体" w:hAnsi="宋体" w:eastAsia="宋体" w:cs="宋体"/>
          <w:b/>
          <w:bCs/>
          <w:color w:val="333333"/>
          <w:sz w:val="21"/>
          <w:szCs w:val="21"/>
        </w:rPr>
      </w:pPr>
    </w:p>
    <w:p w14:paraId="64076422">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eastAsia="宋体" w:cs="宋体"/>
          <w:b/>
          <w:bCs/>
          <w:color w:val="333333"/>
          <w:sz w:val="21"/>
          <w:szCs w:val="21"/>
        </w:rPr>
      </w:pPr>
      <w:r>
        <w:rPr>
          <w:rFonts w:hint="eastAsia" w:ascii="宋体" w:hAnsi="宋体" w:eastAsia="宋体" w:cs="宋体"/>
          <w:b/>
          <w:bCs/>
          <w:color w:val="333333"/>
          <w:sz w:val="21"/>
          <w:szCs w:val="21"/>
        </w:rPr>
        <w:t>四、学制</w:t>
      </w:r>
    </w:p>
    <w:p w14:paraId="0A994B70">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本专业学制为2.5年。采用1+1+0.5，第一年在杭电学习，第二年在日本学习，最后0.5年回到杭电完成毕业论文及答辩工作。达到双方毕业要求，可授予中日双方硕士学位。其中中方学位授予具体按《杭州电子科技大学博士、硕士学位授予工作细则》（杭电研〔2021〕165号）有关规定执行。日方学位授予要求研究生修满培养方案规定的课程和学分，在学位申请半年前通过</w:t>
      </w:r>
      <w:r>
        <w:rPr>
          <w:rFonts w:hint="eastAsia" w:ascii="宋体" w:hAnsi="宋体" w:eastAsia="宋体" w:cs="宋体"/>
          <w:sz w:val="21"/>
          <w:szCs w:val="21"/>
        </w:rPr>
        <w:t>中期</w:t>
      </w:r>
      <w:r>
        <w:rPr>
          <w:rFonts w:hint="eastAsia" w:ascii="宋体" w:hAnsi="宋体" w:eastAsia="宋体" w:cs="宋体"/>
          <w:color w:val="000000"/>
          <w:sz w:val="21"/>
          <w:szCs w:val="21"/>
        </w:rPr>
        <w:t>答辩，提交学位论文，通过学位论文审查和答辩。</w:t>
      </w:r>
    </w:p>
    <w:p w14:paraId="6706BFC0">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宋体" w:hAnsi="宋体" w:eastAsia="宋体" w:cs="宋体"/>
          <w:color w:val="000000"/>
          <w:sz w:val="21"/>
          <w:szCs w:val="21"/>
        </w:rPr>
      </w:pPr>
    </w:p>
    <w:p w14:paraId="35EFCE6C">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eastAsia="宋体" w:cs="宋体"/>
          <w:color w:val="333333"/>
          <w:sz w:val="21"/>
          <w:szCs w:val="21"/>
        </w:rPr>
      </w:pPr>
      <w:r>
        <w:rPr>
          <w:rFonts w:hint="eastAsia" w:ascii="宋体" w:hAnsi="宋体" w:eastAsia="宋体" w:cs="宋体"/>
          <w:b/>
          <w:bCs/>
          <w:color w:val="333333"/>
          <w:sz w:val="21"/>
          <w:szCs w:val="21"/>
        </w:rPr>
        <w:t>五、学费与奖助体系</w:t>
      </w:r>
    </w:p>
    <w:p w14:paraId="4BCECAB1">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eastAsia="宋体" w:cs="宋体"/>
          <w:color w:val="000000"/>
          <w:sz w:val="21"/>
          <w:szCs w:val="21"/>
        </w:rPr>
      </w:pPr>
      <w:r>
        <w:rPr>
          <w:rFonts w:hint="eastAsia" w:ascii="宋体" w:hAnsi="宋体" w:eastAsia="宋体" w:cs="宋体"/>
          <w:b/>
          <w:color w:val="000000"/>
          <w:sz w:val="21"/>
          <w:szCs w:val="21"/>
        </w:rPr>
        <w:t>（一）</w:t>
      </w:r>
      <w:r>
        <w:rPr>
          <w:rFonts w:hint="eastAsia" w:ascii="宋体" w:hAnsi="宋体" w:eastAsia="宋体" w:cs="宋体"/>
          <w:color w:val="000000"/>
          <w:sz w:val="21"/>
          <w:szCs w:val="21"/>
        </w:rPr>
        <w:t>学费：48000元/学年/人。</w:t>
      </w:r>
    </w:p>
    <w:p w14:paraId="5742D0C0">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eastAsia="宋体" w:cs="宋体"/>
          <w:color w:val="000000"/>
          <w:sz w:val="21"/>
          <w:szCs w:val="21"/>
        </w:rPr>
      </w:pPr>
      <w:r>
        <w:rPr>
          <w:rFonts w:hint="eastAsia" w:ascii="宋体" w:hAnsi="宋体" w:eastAsia="宋体" w:cs="宋体"/>
          <w:b/>
          <w:color w:val="000000"/>
          <w:sz w:val="21"/>
          <w:szCs w:val="21"/>
        </w:rPr>
        <w:t>（二）</w:t>
      </w:r>
      <w:r>
        <w:rPr>
          <w:rFonts w:hint="eastAsia" w:ascii="宋体" w:hAnsi="宋体" w:eastAsia="宋体" w:cs="宋体"/>
          <w:color w:val="000000"/>
          <w:sz w:val="21"/>
          <w:szCs w:val="21"/>
        </w:rPr>
        <w:t>奖助体系：</w:t>
      </w:r>
    </w:p>
    <w:p w14:paraId="394F3788">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杭州电子科技大学有国家奖学金、国家助学金、学业奖学金、专项奖学金、国际交流补助、助研津贴、助管助教、助学贷款等奖助项目，旨在提高研究生在校待遇,以鼓励、帮助研究生更好地完成学业。</w:t>
      </w:r>
    </w:p>
    <w:p w14:paraId="0F623D22">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宋体" w:hAnsi="宋体" w:eastAsia="宋体" w:cs="宋体"/>
          <w:color w:val="000000"/>
          <w:sz w:val="21"/>
          <w:szCs w:val="21"/>
        </w:rPr>
      </w:pPr>
    </w:p>
    <w:p w14:paraId="44D366CE">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宋体" w:hAnsi="宋体" w:eastAsia="宋体" w:cs="宋体"/>
          <w:color w:val="000000"/>
          <w:sz w:val="21"/>
          <w:szCs w:val="21"/>
        </w:rPr>
      </w:pPr>
    </w:p>
    <w:p w14:paraId="6E46FC66">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宋体" w:hAnsi="宋体" w:eastAsia="宋体" w:cs="宋体"/>
          <w:color w:val="000000"/>
          <w:sz w:val="21"/>
          <w:szCs w:val="21"/>
        </w:rPr>
      </w:pPr>
    </w:p>
    <w:p w14:paraId="2F1237D2">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eastAsia="宋体" w:cs="宋体"/>
          <w:color w:val="333333"/>
          <w:sz w:val="21"/>
          <w:szCs w:val="21"/>
        </w:rPr>
      </w:pPr>
      <w:r>
        <w:rPr>
          <w:rFonts w:hint="eastAsia" w:ascii="宋体" w:hAnsi="宋体" w:eastAsia="宋体" w:cs="宋体"/>
          <w:b/>
          <w:bCs/>
          <w:color w:val="333333"/>
          <w:sz w:val="21"/>
          <w:szCs w:val="21"/>
        </w:rPr>
        <w:t>六、其他</w:t>
      </w:r>
    </w:p>
    <w:p w14:paraId="68F43DD7">
      <w:pPr>
        <w:pStyle w:val="15"/>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sz w:val="21"/>
          <w:szCs w:val="21"/>
        </w:rPr>
      </w:pPr>
      <w:r>
        <w:rPr>
          <w:rFonts w:hint="eastAsia" w:ascii="宋体" w:hAnsi="宋体" w:eastAsia="宋体" w:cs="宋体"/>
          <w:sz w:val="21"/>
          <w:szCs w:val="21"/>
        </w:rPr>
        <w:t>本专业招生报名、确认、初试、调剂、复试、录取等要求同学校其他专业，具体请按照学校已公布《2025年硕士研究生招生章程》（请点击网址https://grsin.hdu.edu.cn/2024/0930/c1721a271058/page.htm查看）相关内容执行。</w:t>
      </w:r>
    </w:p>
    <w:p w14:paraId="7CF5570A">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招生指南由杭州电子科技大学计算机中外合作教育中心和研究生院负责解释，如有变动以国家和学校下发的最新文件通知为准。</w:t>
      </w:r>
    </w:p>
    <w:p w14:paraId="51DE08D0">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宋体" w:hAnsi="宋体" w:eastAsia="宋体" w:cs="宋体"/>
          <w:color w:val="000000"/>
          <w:sz w:val="21"/>
          <w:szCs w:val="21"/>
        </w:rPr>
      </w:pPr>
    </w:p>
    <w:p w14:paraId="6B191716">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eastAsia="宋体" w:cs="宋体"/>
          <w:color w:val="333333"/>
          <w:sz w:val="21"/>
          <w:szCs w:val="21"/>
        </w:rPr>
      </w:pPr>
      <w:r>
        <w:rPr>
          <w:rFonts w:hint="eastAsia" w:ascii="宋体" w:hAnsi="宋体" w:eastAsia="宋体" w:cs="宋体"/>
          <w:b/>
          <w:bCs/>
          <w:color w:val="333333"/>
          <w:sz w:val="21"/>
          <w:szCs w:val="21"/>
        </w:rPr>
        <w:t>七、联系方式</w:t>
      </w:r>
    </w:p>
    <w:p w14:paraId="3C979BF5">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eastAsia="宋体" w:cs="宋体"/>
          <w:color w:val="000000"/>
          <w:sz w:val="21"/>
          <w:szCs w:val="21"/>
        </w:rPr>
      </w:pPr>
      <w:r>
        <w:rPr>
          <w:rFonts w:hint="eastAsia" w:ascii="宋体" w:hAnsi="宋体" w:eastAsia="宋体" w:cs="宋体"/>
          <w:color w:val="000000"/>
          <w:sz w:val="21"/>
          <w:szCs w:val="21"/>
        </w:rPr>
        <w:t>缪老师，</w:t>
      </w:r>
      <w:r>
        <w:rPr>
          <w:sz w:val="21"/>
          <w:szCs w:val="21"/>
        </w:rPr>
        <w:fldChar w:fldCharType="begin"/>
      </w:r>
      <w:r>
        <w:rPr>
          <w:sz w:val="21"/>
          <w:szCs w:val="21"/>
        </w:rPr>
        <w:instrText xml:space="preserve"> HYPERLINK "mailto:myx@hdu.edu.cn" </w:instrText>
      </w:r>
      <w:r>
        <w:rPr>
          <w:sz w:val="21"/>
          <w:szCs w:val="21"/>
        </w:rPr>
        <w:fldChar w:fldCharType="separate"/>
      </w:r>
      <w:r>
        <w:rPr>
          <w:rStyle w:val="9"/>
          <w:rFonts w:hint="eastAsia" w:ascii="宋体" w:hAnsi="宋体" w:eastAsia="宋体" w:cs="宋体"/>
          <w:sz w:val="21"/>
          <w:szCs w:val="21"/>
        </w:rPr>
        <w:t>myx@hdu.edu.cn</w:t>
      </w:r>
      <w:r>
        <w:rPr>
          <w:rStyle w:val="9"/>
          <w:rFonts w:hint="eastAsia" w:ascii="宋体" w:hAnsi="宋体" w:eastAsia="宋体" w:cs="宋体"/>
          <w:sz w:val="21"/>
          <w:szCs w:val="21"/>
        </w:rPr>
        <w:fldChar w:fldCharType="end"/>
      </w:r>
      <w:r>
        <w:rPr>
          <w:rFonts w:hint="eastAsia" w:ascii="宋体" w:hAnsi="宋体" w:eastAsia="宋体" w:cs="宋体"/>
          <w:color w:val="000000"/>
          <w:sz w:val="21"/>
          <w:szCs w:val="21"/>
        </w:rPr>
        <w:t>，0571-</w:t>
      </w:r>
      <w:r>
        <w:rPr>
          <w:rFonts w:hint="eastAsia" w:ascii="宋体" w:hAnsi="宋体" w:eastAsia="宋体" w:cs="宋体"/>
          <w:sz w:val="21"/>
          <w:szCs w:val="21"/>
        </w:rPr>
        <w:t xml:space="preserve"> </w:t>
      </w:r>
      <w:r>
        <w:rPr>
          <w:rFonts w:hint="eastAsia" w:ascii="宋体" w:hAnsi="宋体" w:eastAsia="宋体" w:cs="宋体"/>
          <w:color w:val="000000"/>
          <w:sz w:val="21"/>
          <w:szCs w:val="21"/>
        </w:rPr>
        <w:t>86919159</w:t>
      </w:r>
      <w:r>
        <w:rPr>
          <w:rFonts w:hint="eastAsia" w:ascii="宋体" w:hAnsi="宋体" w:eastAsia="宋体" w:cs="宋体"/>
          <w:color w:val="000000"/>
          <w:sz w:val="21"/>
          <w:szCs w:val="21"/>
        </w:rPr>
        <w:tab/>
      </w:r>
      <w:r>
        <w:rPr>
          <w:rFonts w:hint="eastAsia" w:ascii="宋体" w:hAnsi="宋体" w:eastAsia="宋体" w:cs="宋体"/>
          <w:color w:val="000000"/>
          <w:sz w:val="21"/>
          <w:szCs w:val="21"/>
        </w:rPr>
        <w:tab/>
      </w:r>
      <w:r>
        <w:rPr>
          <w:rFonts w:hint="eastAsia" w:ascii="宋体" w:hAnsi="宋体" w:eastAsia="宋体" w:cs="宋体"/>
          <w:color w:val="000000"/>
          <w:sz w:val="21"/>
          <w:szCs w:val="21"/>
        </w:rPr>
        <w:tab/>
      </w:r>
    </w:p>
    <w:p w14:paraId="1F46CE50">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Style w:val="9"/>
          <w:rFonts w:ascii="宋体" w:hAnsi="宋体" w:eastAsia="宋体" w:cs="宋体"/>
          <w:sz w:val="21"/>
          <w:szCs w:val="21"/>
        </w:rPr>
      </w:pPr>
      <w:r>
        <w:rPr>
          <w:rFonts w:hint="eastAsia" w:ascii="宋体" w:hAnsi="宋体" w:eastAsia="宋体" w:cs="宋体"/>
          <w:color w:val="000000"/>
          <w:sz w:val="21"/>
          <w:szCs w:val="21"/>
        </w:rPr>
        <w:t>田老师，</w:t>
      </w:r>
      <w:r>
        <w:rPr>
          <w:sz w:val="21"/>
          <w:szCs w:val="21"/>
        </w:rPr>
        <w:fldChar w:fldCharType="begin"/>
      </w:r>
      <w:r>
        <w:rPr>
          <w:sz w:val="21"/>
          <w:szCs w:val="21"/>
        </w:rPr>
        <w:instrText xml:space="preserve"> HYPERLINK "mailto:linda-tx@hdu.edu.cn" </w:instrText>
      </w:r>
      <w:r>
        <w:rPr>
          <w:sz w:val="21"/>
          <w:szCs w:val="21"/>
        </w:rPr>
        <w:fldChar w:fldCharType="separate"/>
      </w:r>
      <w:r>
        <w:rPr>
          <w:rStyle w:val="9"/>
          <w:rFonts w:hint="eastAsia" w:ascii="宋体" w:hAnsi="宋体" w:eastAsia="宋体" w:cs="宋体"/>
          <w:sz w:val="21"/>
          <w:szCs w:val="21"/>
        </w:rPr>
        <w:t>linda-tx@hdu.edu.cn</w:t>
      </w:r>
      <w:r>
        <w:rPr>
          <w:rStyle w:val="9"/>
          <w:rFonts w:hint="eastAsia" w:ascii="宋体" w:hAnsi="宋体" w:eastAsia="宋体" w:cs="宋体"/>
          <w:sz w:val="21"/>
          <w:szCs w:val="21"/>
        </w:rPr>
        <w:fldChar w:fldCharType="end"/>
      </w:r>
    </w:p>
    <w:p w14:paraId="7A659166">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eastAsia="宋体" w:cs="宋体"/>
          <w:color w:val="000000"/>
        </w:rPr>
      </w:pPr>
    </w:p>
    <w:p w14:paraId="2587FB0E">
      <w:pPr>
        <w:keepNext w:val="0"/>
        <w:keepLines w:val="0"/>
        <w:pageBreakBefore w:val="0"/>
        <w:widowControl w:val="0"/>
        <w:kinsoku/>
        <w:wordWrap/>
        <w:overflowPunct/>
        <w:topLinePunct w:val="0"/>
        <w:autoSpaceDE/>
        <w:autoSpaceDN/>
        <w:bidi w:val="0"/>
        <w:adjustRightInd/>
        <w:snapToGrid/>
        <w:spacing w:line="360" w:lineRule="auto"/>
        <w:ind w:firstLine="420"/>
        <w:jc w:val="center"/>
        <w:textAlignment w:val="auto"/>
        <w:rPr>
          <w:rFonts w:ascii="宋体" w:hAnsi="宋体" w:eastAsia="宋体" w:cs="宋体"/>
          <w:b/>
          <w:color w:val="FF0000"/>
          <w:sz w:val="28"/>
          <w:szCs w:val="28"/>
        </w:rPr>
      </w:pPr>
      <w:r>
        <w:rPr>
          <w:rFonts w:hint="eastAsia" w:ascii="宋体" w:hAnsi="宋体" w:eastAsia="宋体" w:cs="宋体"/>
          <w:b/>
          <w:color w:val="FF0000"/>
          <w:sz w:val="28"/>
          <w:szCs w:val="28"/>
        </w:rPr>
        <w:t>热忱欢迎报考杭州电子科技大学与日本山梨大学合作培养硕士研究生招生专业!</w:t>
      </w:r>
    </w:p>
    <w:sectPr>
      <w:pgSz w:w="11906" w:h="16838"/>
      <w:pgMar w:top="1134" w:right="1797" w:bottom="1134"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国标宋体-超大字符集扩"/>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国标宋体-超大字符集扩"/>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Nimbus Roman No9 L"/>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VhOGFmZWE3ODg0NDQxMGJlYzg3MTllZTAzZTE2NjMifQ=="/>
  </w:docVars>
  <w:rsids>
    <w:rsidRoot w:val="00175FE5"/>
    <w:rsid w:val="00033273"/>
    <w:rsid w:val="00046D54"/>
    <w:rsid w:val="00090259"/>
    <w:rsid w:val="000B43B8"/>
    <w:rsid w:val="000C28BF"/>
    <w:rsid w:val="000D36B7"/>
    <w:rsid w:val="001315C1"/>
    <w:rsid w:val="00146052"/>
    <w:rsid w:val="00152469"/>
    <w:rsid w:val="0015742C"/>
    <w:rsid w:val="00165628"/>
    <w:rsid w:val="00166C46"/>
    <w:rsid w:val="00175FE5"/>
    <w:rsid w:val="00180D09"/>
    <w:rsid w:val="00187745"/>
    <w:rsid w:val="001C7E00"/>
    <w:rsid w:val="00205240"/>
    <w:rsid w:val="002175D4"/>
    <w:rsid w:val="002961A4"/>
    <w:rsid w:val="002B00EF"/>
    <w:rsid w:val="002E127E"/>
    <w:rsid w:val="002F5F91"/>
    <w:rsid w:val="00307802"/>
    <w:rsid w:val="00340592"/>
    <w:rsid w:val="003D3779"/>
    <w:rsid w:val="003D7BB8"/>
    <w:rsid w:val="00421D08"/>
    <w:rsid w:val="00430F3D"/>
    <w:rsid w:val="004512DE"/>
    <w:rsid w:val="00490265"/>
    <w:rsid w:val="00490506"/>
    <w:rsid w:val="004926D9"/>
    <w:rsid w:val="00496828"/>
    <w:rsid w:val="004A74FD"/>
    <w:rsid w:val="004D6808"/>
    <w:rsid w:val="0054303F"/>
    <w:rsid w:val="0057079E"/>
    <w:rsid w:val="005A12C0"/>
    <w:rsid w:val="005D55CB"/>
    <w:rsid w:val="005D6087"/>
    <w:rsid w:val="00602777"/>
    <w:rsid w:val="006569D5"/>
    <w:rsid w:val="00657F08"/>
    <w:rsid w:val="00674964"/>
    <w:rsid w:val="00682884"/>
    <w:rsid w:val="006E4593"/>
    <w:rsid w:val="006F151F"/>
    <w:rsid w:val="006F68B4"/>
    <w:rsid w:val="0073773B"/>
    <w:rsid w:val="0073784C"/>
    <w:rsid w:val="007408A9"/>
    <w:rsid w:val="00744A9A"/>
    <w:rsid w:val="00752A7D"/>
    <w:rsid w:val="00780BAB"/>
    <w:rsid w:val="007966DF"/>
    <w:rsid w:val="007B399E"/>
    <w:rsid w:val="008112BD"/>
    <w:rsid w:val="00822634"/>
    <w:rsid w:val="008B4F3C"/>
    <w:rsid w:val="008B6A5C"/>
    <w:rsid w:val="008E755C"/>
    <w:rsid w:val="008F481B"/>
    <w:rsid w:val="00901896"/>
    <w:rsid w:val="00983962"/>
    <w:rsid w:val="009971E7"/>
    <w:rsid w:val="009B5017"/>
    <w:rsid w:val="009B53AD"/>
    <w:rsid w:val="009F4AB8"/>
    <w:rsid w:val="00A26367"/>
    <w:rsid w:val="00A5250D"/>
    <w:rsid w:val="00A81743"/>
    <w:rsid w:val="00A83FC3"/>
    <w:rsid w:val="00AA5441"/>
    <w:rsid w:val="00AC7D76"/>
    <w:rsid w:val="00AD6487"/>
    <w:rsid w:val="00B33868"/>
    <w:rsid w:val="00B507CE"/>
    <w:rsid w:val="00B55E64"/>
    <w:rsid w:val="00B90C58"/>
    <w:rsid w:val="00BB242D"/>
    <w:rsid w:val="00BB3BB9"/>
    <w:rsid w:val="00BC2C5C"/>
    <w:rsid w:val="00C23220"/>
    <w:rsid w:val="00C54F30"/>
    <w:rsid w:val="00C9460F"/>
    <w:rsid w:val="00D1216F"/>
    <w:rsid w:val="00D44EBF"/>
    <w:rsid w:val="00D57BDE"/>
    <w:rsid w:val="00DB5444"/>
    <w:rsid w:val="00DE5599"/>
    <w:rsid w:val="00E0086D"/>
    <w:rsid w:val="00E2669B"/>
    <w:rsid w:val="00E7225C"/>
    <w:rsid w:val="00EF1EEA"/>
    <w:rsid w:val="00F15FEE"/>
    <w:rsid w:val="00F502F1"/>
    <w:rsid w:val="00F74D3C"/>
    <w:rsid w:val="00F9348D"/>
    <w:rsid w:val="00F975DE"/>
    <w:rsid w:val="00FB3BD9"/>
    <w:rsid w:val="0A6C654D"/>
    <w:rsid w:val="0BC62E51"/>
    <w:rsid w:val="1EE732BB"/>
    <w:rsid w:val="325A3612"/>
    <w:rsid w:val="394F2068"/>
    <w:rsid w:val="3FA55CAB"/>
    <w:rsid w:val="49F82470"/>
    <w:rsid w:val="4E65467D"/>
    <w:rsid w:val="51C770FB"/>
    <w:rsid w:val="54633AEB"/>
    <w:rsid w:val="57D13CC7"/>
    <w:rsid w:val="59262959"/>
    <w:rsid w:val="61A573EF"/>
    <w:rsid w:val="643E04B9"/>
    <w:rsid w:val="AAAFA4FE"/>
    <w:rsid w:val="EF26AB4A"/>
    <w:rsid w:val="F4DECF3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14"/>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Strong"/>
    <w:basedOn w:val="7"/>
    <w:qFormat/>
    <w:uiPriority w:val="22"/>
    <w:rPr>
      <w:b/>
      <w:bCs/>
    </w:rPr>
  </w:style>
  <w:style w:type="character" w:styleId="9">
    <w:name w:val="Hyperlink"/>
    <w:basedOn w:val="7"/>
    <w:unhideWhenUsed/>
    <w:qFormat/>
    <w:uiPriority w:val="99"/>
    <w:rPr>
      <w:color w:val="336C9D"/>
      <w:u w:val="none"/>
    </w:rPr>
  </w:style>
  <w:style w:type="character" w:styleId="10">
    <w:name w:val="annotation reference"/>
    <w:basedOn w:val="7"/>
    <w:semiHidden/>
    <w:unhideWhenUsed/>
    <w:qFormat/>
    <w:uiPriority w:val="99"/>
    <w:rPr>
      <w:sz w:val="21"/>
      <w:szCs w:val="21"/>
    </w:rPr>
  </w:style>
  <w:style w:type="character" w:customStyle="1" w:styleId="11">
    <w:name w:val="页眉 字符"/>
    <w:basedOn w:val="7"/>
    <w:link w:val="5"/>
    <w:qFormat/>
    <w:uiPriority w:val="99"/>
    <w:rPr>
      <w:sz w:val="18"/>
      <w:szCs w:val="18"/>
    </w:rPr>
  </w:style>
  <w:style w:type="character" w:customStyle="1" w:styleId="12">
    <w:name w:val="页脚 字符"/>
    <w:basedOn w:val="7"/>
    <w:link w:val="4"/>
    <w:qFormat/>
    <w:uiPriority w:val="99"/>
    <w:rPr>
      <w:sz w:val="18"/>
      <w:szCs w:val="18"/>
    </w:rPr>
  </w:style>
  <w:style w:type="character" w:customStyle="1" w:styleId="13">
    <w:name w:val="未处理的提及1"/>
    <w:basedOn w:val="7"/>
    <w:semiHidden/>
    <w:unhideWhenUsed/>
    <w:qFormat/>
    <w:uiPriority w:val="99"/>
    <w:rPr>
      <w:color w:val="605E5C"/>
      <w:shd w:val="clear" w:color="auto" w:fill="E1DFDD"/>
    </w:rPr>
  </w:style>
  <w:style w:type="character" w:customStyle="1" w:styleId="14">
    <w:name w:val="批注框文本 字符"/>
    <w:basedOn w:val="7"/>
    <w:link w:val="3"/>
    <w:semiHidden/>
    <w:qFormat/>
    <w:uiPriority w:val="99"/>
    <w:rPr>
      <w:kern w:val="2"/>
      <w:sz w:val="18"/>
      <w:szCs w:val="18"/>
    </w:rPr>
  </w:style>
  <w:style w:type="paragraph" w:styleId="1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274</Words>
  <Characters>1562</Characters>
  <Lines>13</Lines>
  <Paragraphs>3</Paragraphs>
  <TotalTime>279</TotalTime>
  <ScaleCrop>false</ScaleCrop>
  <LinksUpToDate>false</LinksUpToDate>
  <CharactersWithSpaces>1833</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2021-09-23T23:51:00Z</dcterms:created>
  <dc:creator>dell</dc:creator>
  <cp:lastModifiedBy>黄彦佳</cp:lastModifiedBy>
  <cp:lastPrinted>2018-03-22T18:22:00Z</cp:lastPrinted>
  <dcterms:modified xsi:type="dcterms:W3CDTF">2025-12-11T09:26:01Z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057ECD36F9E6400DA65A6AD1AF43BEE9</vt:lpwstr>
  </property>
</Properties>
</file>